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40C28" w14:textId="7CB930DA" w:rsidR="00FF0075" w:rsidRDefault="00A4138B" w:rsidP="00D72735">
      <w:pPr>
        <w:jc w:val="center"/>
        <w:rPr>
          <w:rFonts w:ascii="Calibri" w:hAnsi="Calibri"/>
          <w:b/>
          <w:sz w:val="22"/>
          <w:szCs w:val="22"/>
        </w:rPr>
      </w:pPr>
      <w:r>
        <w:rPr>
          <w:rFonts w:ascii="Calibri" w:hAnsi="Calibri"/>
          <w:b/>
          <w:noProof/>
          <w:sz w:val="22"/>
          <w:szCs w:val="22"/>
        </w:rPr>
        <w:drawing>
          <wp:anchor distT="0" distB="0" distL="114300" distR="114300" simplePos="0" relativeHeight="251657216" behindDoc="0" locked="0" layoutInCell="1" allowOverlap="1" wp14:anchorId="6EB34D2B" wp14:editId="4B2F9D7A">
            <wp:simplePos x="0" y="0"/>
            <wp:positionH relativeFrom="column">
              <wp:posOffset>-12700</wp:posOffset>
            </wp:positionH>
            <wp:positionV relativeFrom="paragraph">
              <wp:posOffset>-453390</wp:posOffset>
            </wp:positionV>
            <wp:extent cx="6309360" cy="7327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9360" cy="732790"/>
                    </a:xfrm>
                    <a:prstGeom prst="rect">
                      <a:avLst/>
                    </a:prstGeom>
                    <a:noFill/>
                  </pic:spPr>
                </pic:pic>
              </a:graphicData>
            </a:graphic>
            <wp14:sizeRelH relativeFrom="page">
              <wp14:pctWidth>0</wp14:pctWidth>
            </wp14:sizeRelH>
            <wp14:sizeRelV relativeFrom="page">
              <wp14:pctHeight>0</wp14:pctHeight>
            </wp14:sizeRelV>
          </wp:anchor>
        </w:drawing>
      </w:r>
    </w:p>
    <w:p w14:paraId="6FA46760" w14:textId="77777777" w:rsidR="00FF0075" w:rsidRDefault="00FF0075" w:rsidP="00D72735">
      <w:pPr>
        <w:jc w:val="center"/>
        <w:rPr>
          <w:rFonts w:ascii="Calibri" w:hAnsi="Calibri"/>
          <w:b/>
          <w:sz w:val="22"/>
          <w:szCs w:val="22"/>
        </w:rPr>
      </w:pPr>
    </w:p>
    <w:p w14:paraId="111EB85A" w14:textId="77777777" w:rsidR="00FF0075" w:rsidRDefault="00FF0075" w:rsidP="00D72735">
      <w:pPr>
        <w:jc w:val="center"/>
        <w:rPr>
          <w:rFonts w:ascii="Calibri" w:hAnsi="Calibri"/>
          <w:b/>
          <w:sz w:val="22"/>
          <w:szCs w:val="22"/>
        </w:rPr>
      </w:pPr>
    </w:p>
    <w:p w14:paraId="62930C84" w14:textId="4D853A8F" w:rsidR="00D72735" w:rsidRDefault="00791E03" w:rsidP="001C0ADF">
      <w:pPr>
        <w:jc w:val="center"/>
        <w:rPr>
          <w:rFonts w:ascii="Calibri" w:hAnsi="Calibri"/>
          <w:b/>
          <w:sz w:val="22"/>
          <w:szCs w:val="22"/>
        </w:rPr>
      </w:pPr>
      <w:r w:rsidRPr="00783221">
        <w:rPr>
          <w:rFonts w:ascii="Calibri" w:hAnsi="Calibri"/>
          <w:b/>
          <w:sz w:val="22"/>
          <w:szCs w:val="22"/>
        </w:rPr>
        <w:t>Central Wisconsin Health Partnership</w:t>
      </w:r>
      <w:r w:rsidR="001C0ADF">
        <w:rPr>
          <w:rFonts w:ascii="Calibri" w:hAnsi="Calibri"/>
          <w:b/>
          <w:sz w:val="22"/>
          <w:szCs w:val="22"/>
        </w:rPr>
        <w:t xml:space="preserve"> </w:t>
      </w:r>
      <w:r w:rsidR="00F82903">
        <w:rPr>
          <w:rFonts w:ascii="Calibri" w:hAnsi="Calibri"/>
          <w:b/>
          <w:sz w:val="22"/>
          <w:szCs w:val="22"/>
        </w:rPr>
        <w:t xml:space="preserve">(CWHP) </w:t>
      </w:r>
      <w:r w:rsidR="00D72735" w:rsidRPr="00783221">
        <w:rPr>
          <w:rFonts w:ascii="Calibri" w:hAnsi="Calibri"/>
          <w:b/>
          <w:sz w:val="22"/>
          <w:szCs w:val="22"/>
        </w:rPr>
        <w:t xml:space="preserve">Comprehensive Community Services (CCS) </w:t>
      </w:r>
    </w:p>
    <w:p w14:paraId="3E540A28" w14:textId="48FAF395" w:rsidR="00D72735" w:rsidRDefault="000A748F" w:rsidP="00D72735">
      <w:pPr>
        <w:jc w:val="center"/>
        <w:rPr>
          <w:rFonts w:ascii="Calibri" w:hAnsi="Calibri"/>
          <w:b/>
          <w:sz w:val="22"/>
          <w:szCs w:val="22"/>
        </w:rPr>
      </w:pPr>
      <w:r>
        <w:rPr>
          <w:rFonts w:ascii="Calibri" w:hAnsi="Calibri"/>
          <w:b/>
          <w:sz w:val="22"/>
          <w:szCs w:val="22"/>
        </w:rPr>
        <w:t>Provider Contract Addendum</w:t>
      </w:r>
    </w:p>
    <w:p w14:paraId="39167114" w14:textId="77777777" w:rsidR="001C0ADF" w:rsidRPr="00783221" w:rsidRDefault="001C0ADF" w:rsidP="00D72735">
      <w:pPr>
        <w:jc w:val="center"/>
        <w:rPr>
          <w:rFonts w:ascii="Calibri" w:hAnsi="Calibri"/>
          <w:b/>
          <w:sz w:val="22"/>
          <w:szCs w:val="22"/>
        </w:rPr>
      </w:pPr>
    </w:p>
    <w:p w14:paraId="2CFCF039" w14:textId="095ED7D0" w:rsidR="00D72735" w:rsidRPr="00783221" w:rsidRDefault="00D72735" w:rsidP="00D72735">
      <w:pPr>
        <w:rPr>
          <w:rFonts w:ascii="Calibri" w:hAnsi="Calibri"/>
          <w:sz w:val="22"/>
          <w:szCs w:val="22"/>
        </w:rPr>
      </w:pPr>
      <w:r w:rsidRPr="00783221">
        <w:rPr>
          <w:rFonts w:ascii="Calibri" w:hAnsi="Calibri"/>
          <w:sz w:val="22"/>
          <w:szCs w:val="22"/>
        </w:rPr>
        <w:t xml:space="preserve">The </w:t>
      </w:r>
      <w:r w:rsidR="00791E03" w:rsidRPr="00783221">
        <w:rPr>
          <w:rFonts w:ascii="Calibri" w:hAnsi="Calibri"/>
          <w:sz w:val="22"/>
          <w:szCs w:val="22"/>
        </w:rPr>
        <w:t>CWHP</w:t>
      </w:r>
      <w:r w:rsidRPr="00783221">
        <w:rPr>
          <w:rFonts w:ascii="Calibri" w:hAnsi="Calibri"/>
          <w:sz w:val="22"/>
          <w:szCs w:val="22"/>
        </w:rPr>
        <w:t xml:space="preserve"> </w:t>
      </w:r>
      <w:r w:rsidR="003B7100">
        <w:rPr>
          <w:rFonts w:ascii="Calibri" w:hAnsi="Calibri"/>
          <w:sz w:val="22"/>
          <w:szCs w:val="22"/>
        </w:rPr>
        <w:t xml:space="preserve">is a </w:t>
      </w:r>
      <w:r w:rsidR="002F0922">
        <w:rPr>
          <w:rFonts w:ascii="Calibri" w:hAnsi="Calibri"/>
          <w:sz w:val="22"/>
          <w:szCs w:val="22"/>
        </w:rPr>
        <w:t>consortium</w:t>
      </w:r>
      <w:r w:rsidR="003B7100">
        <w:rPr>
          <w:rFonts w:ascii="Calibri" w:hAnsi="Calibri"/>
          <w:sz w:val="22"/>
          <w:szCs w:val="22"/>
        </w:rPr>
        <w:t xml:space="preserve"> that includes</w:t>
      </w:r>
      <w:r w:rsidR="00791E03" w:rsidRPr="00783221">
        <w:rPr>
          <w:rFonts w:ascii="Calibri" w:hAnsi="Calibri"/>
          <w:sz w:val="22"/>
          <w:szCs w:val="22"/>
        </w:rPr>
        <w:t xml:space="preserve"> Adams, Green Lake, Juneau, Marquette, Waupaca, and Waushara Counties.</w:t>
      </w:r>
      <w:r w:rsidRPr="00783221">
        <w:rPr>
          <w:rFonts w:ascii="Calibri" w:hAnsi="Calibri"/>
          <w:sz w:val="22"/>
          <w:szCs w:val="22"/>
        </w:rPr>
        <w:t xml:space="preserve"> </w:t>
      </w:r>
      <w:r w:rsidR="00791E03" w:rsidRPr="00783221">
        <w:rPr>
          <w:rFonts w:ascii="Calibri" w:hAnsi="Calibri"/>
          <w:sz w:val="22"/>
          <w:szCs w:val="22"/>
        </w:rPr>
        <w:t xml:space="preserve"> </w:t>
      </w:r>
      <w:r w:rsidR="002F0922">
        <w:rPr>
          <w:rFonts w:ascii="Calibri" w:hAnsi="Calibri"/>
          <w:sz w:val="22"/>
          <w:szCs w:val="22"/>
        </w:rPr>
        <w:t>An essential component of the partnership is</w:t>
      </w:r>
      <w:r w:rsidR="00DA5688">
        <w:rPr>
          <w:rFonts w:ascii="Calibri" w:hAnsi="Calibri"/>
          <w:sz w:val="22"/>
          <w:szCs w:val="22"/>
        </w:rPr>
        <w:t xml:space="preserve"> the CCS program.  </w:t>
      </w:r>
      <w:r w:rsidR="000D3489">
        <w:rPr>
          <w:rFonts w:ascii="Calibri" w:hAnsi="Calibri"/>
          <w:sz w:val="22"/>
          <w:szCs w:val="22"/>
        </w:rPr>
        <w:t xml:space="preserve">This addendum outlines regional expectations for </w:t>
      </w:r>
      <w:r w:rsidR="00F82903">
        <w:rPr>
          <w:rFonts w:ascii="Calibri" w:hAnsi="Calibri"/>
          <w:sz w:val="22"/>
          <w:szCs w:val="22"/>
        </w:rPr>
        <w:t xml:space="preserve">individuals and agencies contracted to provide CCS services in </w:t>
      </w:r>
      <w:r w:rsidR="00E50FC2">
        <w:rPr>
          <w:rFonts w:ascii="Calibri" w:hAnsi="Calibri"/>
          <w:sz w:val="22"/>
          <w:szCs w:val="22"/>
        </w:rPr>
        <w:t xml:space="preserve">a county or counties in </w:t>
      </w:r>
      <w:r w:rsidR="00F82903">
        <w:rPr>
          <w:rFonts w:ascii="Calibri" w:hAnsi="Calibri"/>
          <w:sz w:val="22"/>
          <w:szCs w:val="22"/>
        </w:rPr>
        <w:t xml:space="preserve">the CWHP region.  </w:t>
      </w:r>
    </w:p>
    <w:p w14:paraId="7E987A05" w14:textId="77777777" w:rsidR="00791E03" w:rsidRPr="00783221" w:rsidRDefault="00791E03" w:rsidP="00D72735">
      <w:pPr>
        <w:rPr>
          <w:rFonts w:ascii="Calibri" w:hAnsi="Calibri"/>
          <w:sz w:val="22"/>
          <w:szCs w:val="22"/>
        </w:rPr>
      </w:pPr>
    </w:p>
    <w:p w14:paraId="3A8DFE50" w14:textId="77777777" w:rsidR="00D72735" w:rsidRPr="00783221" w:rsidRDefault="00D72735" w:rsidP="00F71018">
      <w:pPr>
        <w:rPr>
          <w:rFonts w:ascii="Calibri" w:hAnsi="Calibri"/>
          <w:b/>
          <w:sz w:val="22"/>
          <w:szCs w:val="22"/>
        </w:rPr>
      </w:pPr>
      <w:r w:rsidRPr="00783221">
        <w:rPr>
          <w:rFonts w:ascii="Calibri" w:hAnsi="Calibri"/>
          <w:b/>
          <w:sz w:val="22"/>
          <w:szCs w:val="22"/>
        </w:rPr>
        <w:t>C</w:t>
      </w:r>
      <w:r w:rsidR="00FF0075">
        <w:rPr>
          <w:rFonts w:ascii="Calibri" w:hAnsi="Calibri"/>
          <w:b/>
          <w:sz w:val="22"/>
          <w:szCs w:val="22"/>
        </w:rPr>
        <w:t>omprehensive Community Services (CC</w:t>
      </w:r>
      <w:r w:rsidRPr="00783221">
        <w:rPr>
          <w:rFonts w:ascii="Calibri" w:hAnsi="Calibri"/>
          <w:b/>
          <w:sz w:val="22"/>
          <w:szCs w:val="22"/>
        </w:rPr>
        <w:t>S</w:t>
      </w:r>
      <w:r w:rsidR="00FF0075">
        <w:rPr>
          <w:rFonts w:ascii="Calibri" w:hAnsi="Calibri"/>
          <w:b/>
          <w:sz w:val="22"/>
          <w:szCs w:val="22"/>
        </w:rPr>
        <w:t>)</w:t>
      </w:r>
    </w:p>
    <w:p w14:paraId="19EA05F2" w14:textId="5C936B2A" w:rsidR="00D72735" w:rsidRPr="00783221" w:rsidRDefault="00D72735" w:rsidP="002C0F73">
      <w:pPr>
        <w:spacing w:before="120"/>
        <w:ind w:left="360"/>
        <w:rPr>
          <w:rFonts w:ascii="Calibri" w:hAnsi="Calibri"/>
          <w:sz w:val="22"/>
          <w:szCs w:val="22"/>
        </w:rPr>
      </w:pPr>
      <w:r w:rsidRPr="00783221">
        <w:rPr>
          <w:rFonts w:ascii="Calibri" w:hAnsi="Calibri"/>
          <w:sz w:val="22"/>
          <w:szCs w:val="22"/>
        </w:rPr>
        <w:t xml:space="preserve">Comprehensive Community Services (CCS) is certified per the requirements of Wisconsin Administrative Code DHS 36 and provides a flexible array of individual community-based psychosocial rehabilitation services authorized by a licensed mental health professional under DHS 36.15. CCS Services are provided to clients with mental health and/or substance use issues across the life span who qualify based on </w:t>
      </w:r>
      <w:r w:rsidR="00576C94" w:rsidRPr="00783221">
        <w:rPr>
          <w:rFonts w:ascii="Calibri" w:hAnsi="Calibri"/>
          <w:sz w:val="22"/>
          <w:szCs w:val="22"/>
        </w:rPr>
        <w:t xml:space="preserve">medical necessity and </w:t>
      </w:r>
      <w:r w:rsidRPr="00783221">
        <w:rPr>
          <w:rFonts w:ascii="Calibri" w:hAnsi="Calibri"/>
          <w:sz w:val="22"/>
          <w:szCs w:val="22"/>
        </w:rPr>
        <w:t xml:space="preserve">level of need </w:t>
      </w:r>
      <w:r w:rsidR="00576C94" w:rsidRPr="00783221">
        <w:rPr>
          <w:rFonts w:ascii="Calibri" w:hAnsi="Calibri"/>
          <w:sz w:val="22"/>
          <w:szCs w:val="22"/>
        </w:rPr>
        <w:t xml:space="preserve">as </w:t>
      </w:r>
      <w:r w:rsidRPr="00783221">
        <w:rPr>
          <w:rFonts w:ascii="Calibri" w:hAnsi="Calibri"/>
          <w:sz w:val="22"/>
          <w:szCs w:val="22"/>
        </w:rPr>
        <w:t xml:space="preserve">measured by a functional screen. The intent of the services and supports is to provide maximum reduction of the effects of the individual’s mental health and substance use disorders and restoration to the highest level of possible functioning. The goal is to facilitate recovery and resilience. </w:t>
      </w:r>
    </w:p>
    <w:p w14:paraId="5D2CD58F" w14:textId="77777777" w:rsidR="00D72735" w:rsidRPr="00783221" w:rsidRDefault="00D72735" w:rsidP="002E097A">
      <w:pPr>
        <w:spacing w:before="120"/>
        <w:ind w:firstLine="360"/>
        <w:rPr>
          <w:rFonts w:ascii="Calibri" w:hAnsi="Calibri"/>
          <w:sz w:val="22"/>
          <w:szCs w:val="22"/>
        </w:rPr>
      </w:pPr>
      <w:r w:rsidRPr="00783221">
        <w:rPr>
          <w:rFonts w:ascii="Calibri" w:hAnsi="Calibri"/>
          <w:sz w:val="22"/>
          <w:szCs w:val="22"/>
        </w:rPr>
        <w:t>Providers are expected to:</w:t>
      </w:r>
    </w:p>
    <w:p w14:paraId="1C09ABB7" w14:textId="77777777" w:rsidR="00D72735" w:rsidRPr="00783221" w:rsidRDefault="00D72735" w:rsidP="00817D9B">
      <w:pPr>
        <w:pStyle w:val="ListParagraph"/>
        <w:numPr>
          <w:ilvl w:val="0"/>
          <w:numId w:val="17"/>
        </w:numPr>
        <w:spacing w:before="60"/>
        <w:contextualSpacing w:val="0"/>
        <w:rPr>
          <w:rFonts w:ascii="Calibri" w:hAnsi="Calibri"/>
          <w:sz w:val="22"/>
          <w:szCs w:val="22"/>
        </w:rPr>
      </w:pPr>
      <w:r w:rsidRPr="00783221">
        <w:rPr>
          <w:rFonts w:ascii="Calibri" w:hAnsi="Calibri"/>
          <w:sz w:val="22"/>
          <w:szCs w:val="22"/>
        </w:rPr>
        <w:t>Be recovery-focused</w:t>
      </w:r>
    </w:p>
    <w:p w14:paraId="3A0D3A03" w14:textId="77777777" w:rsidR="00D72735" w:rsidRPr="00783221" w:rsidRDefault="00D72735" w:rsidP="00817D9B">
      <w:pPr>
        <w:pStyle w:val="ListParagraph"/>
        <w:numPr>
          <w:ilvl w:val="0"/>
          <w:numId w:val="17"/>
        </w:numPr>
        <w:spacing w:before="60"/>
        <w:contextualSpacing w:val="0"/>
        <w:rPr>
          <w:rFonts w:ascii="Calibri" w:hAnsi="Calibri"/>
          <w:sz w:val="22"/>
          <w:szCs w:val="22"/>
        </w:rPr>
      </w:pPr>
      <w:r w:rsidRPr="00783221">
        <w:rPr>
          <w:rFonts w:ascii="Calibri" w:hAnsi="Calibri"/>
          <w:sz w:val="22"/>
          <w:szCs w:val="22"/>
        </w:rPr>
        <w:t>Use evidence-based practices</w:t>
      </w:r>
    </w:p>
    <w:p w14:paraId="28775737" w14:textId="03CD8A69" w:rsidR="00D72735" w:rsidRPr="00783221" w:rsidRDefault="00387E2F" w:rsidP="00817D9B">
      <w:pPr>
        <w:pStyle w:val="ListParagraph"/>
        <w:numPr>
          <w:ilvl w:val="0"/>
          <w:numId w:val="17"/>
        </w:numPr>
        <w:spacing w:before="60"/>
        <w:contextualSpacing w:val="0"/>
        <w:rPr>
          <w:rFonts w:ascii="Calibri" w:hAnsi="Calibri"/>
          <w:sz w:val="22"/>
          <w:szCs w:val="22"/>
        </w:rPr>
      </w:pPr>
      <w:r>
        <w:rPr>
          <w:rFonts w:ascii="Calibri" w:hAnsi="Calibri"/>
          <w:sz w:val="22"/>
          <w:szCs w:val="22"/>
        </w:rPr>
        <w:t>Participate in the wraparound team process, including a</w:t>
      </w:r>
      <w:r w:rsidR="00D72735" w:rsidRPr="00783221">
        <w:rPr>
          <w:rFonts w:ascii="Calibri" w:hAnsi="Calibri"/>
          <w:sz w:val="22"/>
          <w:szCs w:val="22"/>
        </w:rPr>
        <w:t>ttend</w:t>
      </w:r>
      <w:r>
        <w:rPr>
          <w:rFonts w:ascii="Calibri" w:hAnsi="Calibri"/>
          <w:sz w:val="22"/>
          <w:szCs w:val="22"/>
        </w:rPr>
        <w:t>ance at</w:t>
      </w:r>
      <w:r w:rsidR="00D72735" w:rsidRPr="00783221">
        <w:rPr>
          <w:rFonts w:ascii="Calibri" w:hAnsi="Calibri"/>
          <w:sz w:val="22"/>
          <w:szCs w:val="22"/>
        </w:rPr>
        <w:t xml:space="preserve"> </w:t>
      </w:r>
      <w:r>
        <w:rPr>
          <w:rFonts w:ascii="Calibri" w:hAnsi="Calibri"/>
          <w:sz w:val="22"/>
          <w:szCs w:val="22"/>
        </w:rPr>
        <w:t>r</w:t>
      </w:r>
      <w:r w:rsidR="00D72735" w:rsidRPr="00783221">
        <w:rPr>
          <w:rFonts w:ascii="Calibri" w:hAnsi="Calibri"/>
          <w:sz w:val="22"/>
          <w:szCs w:val="22"/>
        </w:rPr>
        <w:t xml:space="preserve">ecovery </w:t>
      </w:r>
      <w:r>
        <w:rPr>
          <w:rFonts w:ascii="Calibri" w:hAnsi="Calibri"/>
          <w:sz w:val="22"/>
          <w:szCs w:val="22"/>
        </w:rPr>
        <w:t>t</w:t>
      </w:r>
      <w:r w:rsidR="00D72735" w:rsidRPr="00783221">
        <w:rPr>
          <w:rFonts w:ascii="Calibri" w:hAnsi="Calibri"/>
          <w:sz w:val="22"/>
          <w:szCs w:val="22"/>
        </w:rPr>
        <w:t xml:space="preserve">eam meetings for the consumer they are providing services to </w:t>
      </w:r>
      <w:r w:rsidR="00576C94" w:rsidRPr="00783221">
        <w:rPr>
          <w:rFonts w:ascii="Calibri" w:hAnsi="Calibri"/>
          <w:sz w:val="22"/>
          <w:szCs w:val="22"/>
        </w:rPr>
        <w:t>a minimum of every six months or</w:t>
      </w:r>
      <w:r w:rsidR="00D72735" w:rsidRPr="00783221">
        <w:rPr>
          <w:rFonts w:ascii="Calibri" w:hAnsi="Calibri"/>
          <w:sz w:val="22"/>
          <w:szCs w:val="22"/>
        </w:rPr>
        <w:t xml:space="preserve"> </w:t>
      </w:r>
      <w:r w:rsidR="00082D0B">
        <w:rPr>
          <w:rFonts w:ascii="Calibri" w:hAnsi="Calibri"/>
          <w:sz w:val="22"/>
          <w:szCs w:val="22"/>
        </w:rPr>
        <w:t>more often as dictated by the needs of the consumer</w:t>
      </w:r>
      <w:r w:rsidR="00C3651A">
        <w:rPr>
          <w:rFonts w:ascii="Calibri" w:hAnsi="Calibri"/>
          <w:sz w:val="22"/>
          <w:szCs w:val="22"/>
        </w:rPr>
        <w:t xml:space="preserve">.  </w:t>
      </w:r>
    </w:p>
    <w:p w14:paraId="05598F75" w14:textId="08855DDD" w:rsidR="00D72735" w:rsidRPr="00783221" w:rsidRDefault="00D72735" w:rsidP="00817D9B">
      <w:pPr>
        <w:pStyle w:val="ListParagraph"/>
        <w:numPr>
          <w:ilvl w:val="0"/>
          <w:numId w:val="17"/>
        </w:numPr>
        <w:spacing w:before="60"/>
        <w:contextualSpacing w:val="0"/>
        <w:rPr>
          <w:rFonts w:ascii="Calibri" w:hAnsi="Calibri"/>
          <w:sz w:val="22"/>
          <w:szCs w:val="22"/>
        </w:rPr>
      </w:pPr>
      <w:r w:rsidRPr="00783221">
        <w:rPr>
          <w:rFonts w:ascii="Calibri" w:hAnsi="Calibri"/>
          <w:sz w:val="22"/>
          <w:szCs w:val="22"/>
        </w:rPr>
        <w:t>Have and implement written personnel policies and procedures that do not discriminate against any staff member or application for employment based on the individual’s age, race, religion, color, sexual orientation, national origin, disability, ancestry, marital status, pregnancy or childbirth, or arrest or conviction record</w:t>
      </w:r>
      <w:r w:rsidR="00FC1CD7">
        <w:rPr>
          <w:rFonts w:ascii="Calibri" w:hAnsi="Calibri"/>
          <w:sz w:val="22"/>
          <w:szCs w:val="22"/>
        </w:rPr>
        <w:t>.</w:t>
      </w:r>
    </w:p>
    <w:p w14:paraId="57E13100" w14:textId="7F6EA4F3" w:rsidR="00D72735" w:rsidRPr="00783221" w:rsidRDefault="00D72735" w:rsidP="00817D9B">
      <w:pPr>
        <w:pStyle w:val="ListParagraph"/>
        <w:numPr>
          <w:ilvl w:val="0"/>
          <w:numId w:val="17"/>
        </w:numPr>
        <w:spacing w:before="60"/>
        <w:contextualSpacing w:val="0"/>
        <w:rPr>
          <w:rFonts w:ascii="Calibri" w:hAnsi="Calibri"/>
          <w:sz w:val="22"/>
          <w:szCs w:val="22"/>
        </w:rPr>
      </w:pPr>
      <w:r w:rsidRPr="00783221">
        <w:rPr>
          <w:rFonts w:ascii="Calibri" w:hAnsi="Calibri"/>
          <w:sz w:val="22"/>
          <w:szCs w:val="22"/>
        </w:rPr>
        <w:t>Possess the appropriate professional certification, education, training, experience, and abilities to carry out their prescribed duties</w:t>
      </w:r>
      <w:r w:rsidR="00FC1CD7">
        <w:rPr>
          <w:rFonts w:ascii="Calibri" w:hAnsi="Calibri"/>
          <w:sz w:val="22"/>
          <w:szCs w:val="22"/>
        </w:rPr>
        <w:t>.</w:t>
      </w:r>
    </w:p>
    <w:p w14:paraId="5034B3FA" w14:textId="0497D487" w:rsidR="00D72735" w:rsidRPr="00783221" w:rsidRDefault="00D72735" w:rsidP="00817D9B">
      <w:pPr>
        <w:pStyle w:val="ListParagraph"/>
        <w:numPr>
          <w:ilvl w:val="0"/>
          <w:numId w:val="17"/>
        </w:numPr>
        <w:spacing w:before="60"/>
        <w:contextualSpacing w:val="0"/>
        <w:rPr>
          <w:rFonts w:ascii="Calibri" w:hAnsi="Calibri"/>
          <w:sz w:val="22"/>
          <w:szCs w:val="22"/>
        </w:rPr>
      </w:pPr>
      <w:r w:rsidRPr="00783221">
        <w:rPr>
          <w:rFonts w:ascii="Calibri" w:hAnsi="Calibri"/>
          <w:sz w:val="22"/>
          <w:szCs w:val="22"/>
        </w:rPr>
        <w:t xml:space="preserve">Maintain </w:t>
      </w:r>
      <w:r w:rsidR="001C45A7">
        <w:rPr>
          <w:rFonts w:ascii="Calibri" w:hAnsi="Calibri"/>
          <w:sz w:val="22"/>
          <w:szCs w:val="22"/>
        </w:rPr>
        <w:t>required</w:t>
      </w:r>
      <w:r w:rsidRPr="00783221">
        <w:rPr>
          <w:rFonts w:ascii="Calibri" w:hAnsi="Calibri"/>
          <w:sz w:val="22"/>
          <w:szCs w:val="22"/>
        </w:rPr>
        <w:t xml:space="preserve"> staff records and provide the information to the </w:t>
      </w:r>
      <w:r w:rsidR="00BB5449">
        <w:rPr>
          <w:rFonts w:ascii="Calibri" w:hAnsi="Calibri"/>
          <w:sz w:val="22"/>
          <w:szCs w:val="22"/>
        </w:rPr>
        <w:t xml:space="preserve">appropriate CCS staff person in the county or counties in which services are being provided. </w:t>
      </w:r>
    </w:p>
    <w:p w14:paraId="1E93D2EE" w14:textId="77777777" w:rsidR="00D72735" w:rsidRPr="00783221" w:rsidRDefault="00D72735" w:rsidP="00D72735">
      <w:pPr>
        <w:rPr>
          <w:rFonts w:ascii="Calibri" w:hAnsi="Calibri"/>
          <w:sz w:val="22"/>
          <w:szCs w:val="22"/>
        </w:rPr>
      </w:pPr>
    </w:p>
    <w:p w14:paraId="280FB9EC" w14:textId="77777777" w:rsidR="00D72735" w:rsidRPr="00783221" w:rsidRDefault="00B31BC2" w:rsidP="00D72735">
      <w:pPr>
        <w:rPr>
          <w:rFonts w:ascii="Calibri" w:hAnsi="Calibri"/>
          <w:b/>
          <w:sz w:val="22"/>
          <w:szCs w:val="22"/>
        </w:rPr>
      </w:pPr>
      <w:r>
        <w:rPr>
          <w:rFonts w:ascii="Calibri" w:hAnsi="Calibri"/>
          <w:b/>
          <w:sz w:val="22"/>
          <w:szCs w:val="22"/>
        </w:rPr>
        <w:t xml:space="preserve">Staff References, </w:t>
      </w:r>
      <w:r w:rsidR="00D72735" w:rsidRPr="00783221">
        <w:rPr>
          <w:rFonts w:ascii="Calibri" w:hAnsi="Calibri"/>
          <w:b/>
          <w:sz w:val="22"/>
          <w:szCs w:val="22"/>
        </w:rPr>
        <w:t xml:space="preserve">Background Checks and Misconduct Reporting </w:t>
      </w:r>
      <w:r w:rsidR="00197B9C">
        <w:rPr>
          <w:rFonts w:ascii="Calibri" w:hAnsi="Calibri"/>
          <w:b/>
          <w:sz w:val="22"/>
          <w:szCs w:val="22"/>
        </w:rPr>
        <w:t>and Investigation</w:t>
      </w:r>
    </w:p>
    <w:p w14:paraId="372EDE12" w14:textId="423CD221" w:rsidR="00B31BC2" w:rsidRPr="00B31BC2" w:rsidRDefault="00B31BC2" w:rsidP="00466AA7">
      <w:pPr>
        <w:spacing w:before="60"/>
        <w:ind w:left="360"/>
        <w:rPr>
          <w:rFonts w:ascii="Calibri" w:hAnsi="Calibri" w:cs="Calibri"/>
          <w:sz w:val="22"/>
        </w:rPr>
      </w:pPr>
      <w:r w:rsidRPr="00B31BC2">
        <w:rPr>
          <w:rFonts w:ascii="Calibri" w:hAnsi="Calibri" w:cs="Calibri"/>
          <w:sz w:val="22"/>
        </w:rPr>
        <w:t xml:space="preserve">For each staff person who will be providing </w:t>
      </w:r>
      <w:r w:rsidR="00D6509B">
        <w:rPr>
          <w:rFonts w:ascii="Calibri" w:hAnsi="Calibri" w:cs="Calibri"/>
          <w:sz w:val="22"/>
        </w:rPr>
        <w:t>CCS services</w:t>
      </w:r>
      <w:r w:rsidRPr="00B31BC2">
        <w:rPr>
          <w:rFonts w:ascii="Calibri" w:hAnsi="Calibri" w:cs="Calibri"/>
          <w:sz w:val="22"/>
        </w:rPr>
        <w:t xml:space="preserve">, </w:t>
      </w:r>
      <w:r w:rsidR="0014254A">
        <w:rPr>
          <w:rFonts w:ascii="Calibri" w:hAnsi="Calibri" w:cs="Calibri"/>
          <w:sz w:val="22"/>
        </w:rPr>
        <w:t>a</w:t>
      </w:r>
      <w:r w:rsidRPr="00B31BC2">
        <w:rPr>
          <w:rFonts w:ascii="Calibri" w:hAnsi="Calibri" w:cs="Calibri"/>
          <w:sz w:val="22"/>
        </w:rPr>
        <w:t xml:space="preserve"> resume and references obtained from at least two (2) people</w:t>
      </w:r>
      <w:r w:rsidR="0014254A">
        <w:rPr>
          <w:rFonts w:ascii="Calibri" w:hAnsi="Calibri" w:cs="Calibri"/>
          <w:sz w:val="22"/>
        </w:rPr>
        <w:t xml:space="preserve"> must be submitted.  </w:t>
      </w:r>
      <w:r w:rsidRPr="00B31BC2">
        <w:rPr>
          <w:rFonts w:ascii="Calibri" w:hAnsi="Calibri" w:cs="Calibri"/>
          <w:sz w:val="22"/>
        </w:rPr>
        <w:t xml:space="preserve">References must be documented in writing either by letter of by written documentation of the verbal contact with the reference, dates of contact, person making the contact, individuals contacted, and the nature and the content of the contact. This </w:t>
      </w:r>
      <w:proofErr w:type="gramStart"/>
      <w:r w:rsidRPr="00B31BC2">
        <w:rPr>
          <w:rFonts w:ascii="Calibri" w:hAnsi="Calibri" w:cs="Calibri"/>
          <w:sz w:val="22"/>
        </w:rPr>
        <w:t>is in compliance with</w:t>
      </w:r>
      <w:proofErr w:type="gramEnd"/>
      <w:r w:rsidRPr="00B31BC2">
        <w:rPr>
          <w:rFonts w:ascii="Calibri" w:hAnsi="Calibri" w:cs="Calibri"/>
          <w:sz w:val="22"/>
        </w:rPr>
        <w:t xml:space="preserve"> DHS 36.10(2)(d)1</w:t>
      </w:r>
      <w:r>
        <w:rPr>
          <w:rFonts w:ascii="Calibri" w:hAnsi="Calibri" w:cs="Calibri"/>
          <w:sz w:val="22"/>
        </w:rPr>
        <w:t>.</w:t>
      </w:r>
    </w:p>
    <w:p w14:paraId="1C0A3407" w14:textId="77777777" w:rsidR="00D72735" w:rsidRDefault="00197B9C" w:rsidP="002D4418">
      <w:pPr>
        <w:pStyle w:val="ListParagraph"/>
        <w:spacing w:before="60"/>
        <w:ind w:left="360"/>
        <w:contextualSpacing w:val="0"/>
        <w:rPr>
          <w:rFonts w:ascii="Calibri" w:hAnsi="Calibri"/>
          <w:sz w:val="22"/>
          <w:szCs w:val="22"/>
        </w:rPr>
      </w:pPr>
      <w:r>
        <w:rPr>
          <w:rFonts w:ascii="Calibri" w:hAnsi="Calibri"/>
          <w:sz w:val="22"/>
          <w:szCs w:val="22"/>
        </w:rPr>
        <w:t xml:space="preserve">Contracting agencies must comply </w:t>
      </w:r>
      <w:r w:rsidRPr="00197B9C">
        <w:rPr>
          <w:rFonts w:ascii="Calibri" w:hAnsi="Calibri"/>
          <w:sz w:val="22"/>
          <w:szCs w:val="22"/>
        </w:rPr>
        <w:t xml:space="preserve">with the caregiver background check and misconduct reporting requirements in s. 50.065, Stats., and </w:t>
      </w:r>
      <w:proofErr w:type="spellStart"/>
      <w:r w:rsidRPr="00197B9C">
        <w:rPr>
          <w:rFonts w:ascii="Calibri" w:hAnsi="Calibri"/>
          <w:sz w:val="22"/>
          <w:szCs w:val="22"/>
        </w:rPr>
        <w:t>ch.</w:t>
      </w:r>
      <w:proofErr w:type="spellEnd"/>
      <w:r w:rsidRPr="00197B9C">
        <w:rPr>
          <w:rFonts w:ascii="Calibri" w:hAnsi="Calibri"/>
          <w:sz w:val="22"/>
          <w:szCs w:val="22"/>
        </w:rPr>
        <w:t xml:space="preserve"> DHS 12, and the caregiver misconduct reporting and investigation requirements in </w:t>
      </w:r>
      <w:proofErr w:type="spellStart"/>
      <w:r w:rsidRPr="00197B9C">
        <w:rPr>
          <w:rFonts w:ascii="Calibri" w:hAnsi="Calibri"/>
          <w:sz w:val="22"/>
          <w:szCs w:val="22"/>
        </w:rPr>
        <w:t>ch.</w:t>
      </w:r>
      <w:proofErr w:type="spellEnd"/>
      <w:r w:rsidRPr="00197B9C">
        <w:rPr>
          <w:rFonts w:ascii="Calibri" w:hAnsi="Calibri"/>
          <w:sz w:val="22"/>
          <w:szCs w:val="22"/>
        </w:rPr>
        <w:t xml:space="preserve"> DHS 13. </w:t>
      </w:r>
      <w:r w:rsidR="00B31BC2">
        <w:rPr>
          <w:rFonts w:ascii="Calibri" w:hAnsi="Calibri"/>
          <w:sz w:val="22"/>
          <w:szCs w:val="22"/>
        </w:rPr>
        <w:t xml:space="preserve"> </w:t>
      </w:r>
      <w:r w:rsidRPr="00197B9C">
        <w:rPr>
          <w:rFonts w:ascii="Calibri" w:hAnsi="Calibri"/>
          <w:sz w:val="22"/>
          <w:szCs w:val="22"/>
        </w:rPr>
        <w:t xml:space="preserve">Forms for conducting a caregiver background check including the background information disclosure form may be obtained from the Department's website at </w:t>
      </w:r>
      <w:hyperlink r:id="rId8" w:history="1">
        <w:r w:rsidRPr="00505CBC">
          <w:rPr>
            <w:rStyle w:val="Hyperlink"/>
            <w:rFonts w:ascii="Calibri" w:hAnsi="Calibri"/>
            <w:sz w:val="22"/>
            <w:szCs w:val="22"/>
          </w:rPr>
          <w:t>http://www.dhs.wisconsin.gov/forms/DQAnum.asp</w:t>
        </w:r>
      </w:hyperlink>
      <w:r>
        <w:rPr>
          <w:rFonts w:ascii="Calibri" w:hAnsi="Calibri"/>
          <w:sz w:val="22"/>
          <w:szCs w:val="22"/>
        </w:rPr>
        <w:t xml:space="preserve"> </w:t>
      </w:r>
      <w:r w:rsidRPr="00197B9C">
        <w:rPr>
          <w:rFonts w:ascii="Calibri" w:hAnsi="Calibri"/>
          <w:sz w:val="22"/>
          <w:szCs w:val="22"/>
        </w:rPr>
        <w:t>or by writing or telephoning the Department at Office of Caregiver Quality, P.O. Box 2969, Madison, WI 53701-2969, (608) 261-8319.</w:t>
      </w:r>
    </w:p>
    <w:p w14:paraId="5673D1A1" w14:textId="172D9F17" w:rsidR="00D72735" w:rsidRPr="00783221" w:rsidRDefault="00D72735" w:rsidP="002D4418">
      <w:pPr>
        <w:pStyle w:val="ListParagraph"/>
        <w:spacing w:before="60"/>
        <w:ind w:left="360"/>
        <w:contextualSpacing w:val="0"/>
        <w:rPr>
          <w:rFonts w:ascii="Calibri" w:hAnsi="Calibri"/>
          <w:sz w:val="22"/>
          <w:szCs w:val="22"/>
        </w:rPr>
      </w:pPr>
      <w:r w:rsidRPr="00783221">
        <w:rPr>
          <w:rFonts w:ascii="Calibri" w:hAnsi="Calibri"/>
          <w:sz w:val="22"/>
          <w:szCs w:val="22"/>
        </w:rPr>
        <w:lastRenderedPageBreak/>
        <w:t xml:space="preserve">Qualified agency personnel of the </w:t>
      </w:r>
      <w:r w:rsidR="00C53E46">
        <w:rPr>
          <w:rFonts w:ascii="Calibri" w:hAnsi="Calibri"/>
          <w:sz w:val="22"/>
          <w:szCs w:val="22"/>
        </w:rPr>
        <w:t>individual(s) providing CCS services</w:t>
      </w:r>
      <w:r w:rsidRPr="00783221">
        <w:rPr>
          <w:rFonts w:ascii="Calibri" w:hAnsi="Calibri"/>
          <w:sz w:val="22"/>
          <w:szCs w:val="22"/>
        </w:rPr>
        <w:t xml:space="preserve"> are responsible for closely examining the results of the CBC for criminal convictions or findings of misconduct by a governmental agency; and to make employment decisions in accordance with the requirements and prohibitions in the law.</w:t>
      </w:r>
    </w:p>
    <w:p w14:paraId="455EF902" w14:textId="0DE61F97" w:rsidR="00D72735" w:rsidRPr="00EB107A" w:rsidRDefault="00D72735" w:rsidP="002D4418">
      <w:pPr>
        <w:pStyle w:val="ListParagraph"/>
        <w:spacing w:before="60"/>
        <w:ind w:left="360"/>
        <w:contextualSpacing w:val="0"/>
        <w:rPr>
          <w:rFonts w:ascii="Calibri" w:hAnsi="Calibri"/>
          <w:sz w:val="22"/>
          <w:szCs w:val="22"/>
        </w:rPr>
      </w:pPr>
      <w:r w:rsidRPr="00EB107A">
        <w:rPr>
          <w:rFonts w:ascii="Calibri" w:hAnsi="Calibri"/>
          <w:sz w:val="22"/>
          <w:szCs w:val="22"/>
        </w:rPr>
        <w:t xml:space="preserve">A copy of the Background Check for each staff who will be providing CCS services must be provided to </w:t>
      </w:r>
      <w:r w:rsidR="00576C94" w:rsidRPr="00EB107A">
        <w:rPr>
          <w:rFonts w:ascii="Calibri" w:hAnsi="Calibri"/>
          <w:sz w:val="22"/>
          <w:szCs w:val="22"/>
        </w:rPr>
        <w:t>each county</w:t>
      </w:r>
      <w:r w:rsidR="00AC74E4" w:rsidRPr="00EB107A">
        <w:rPr>
          <w:rFonts w:ascii="Calibri" w:hAnsi="Calibri"/>
          <w:sz w:val="22"/>
          <w:szCs w:val="22"/>
        </w:rPr>
        <w:t xml:space="preserve"> in which services are provided</w:t>
      </w:r>
      <w:r w:rsidRPr="00EB107A">
        <w:rPr>
          <w:rFonts w:ascii="Calibri" w:hAnsi="Calibri"/>
          <w:sz w:val="22"/>
          <w:szCs w:val="22"/>
        </w:rPr>
        <w:t>, every four years, and upon hire for new staff. Service providers shall not assign any staff to provide CCS services who do not meet the requirements of this section.</w:t>
      </w:r>
      <w:r w:rsidR="000F64DB" w:rsidRPr="00EB107A">
        <w:rPr>
          <w:rFonts w:ascii="Calibri" w:hAnsi="Calibri"/>
          <w:sz w:val="22"/>
          <w:szCs w:val="22"/>
        </w:rPr>
        <w:t xml:space="preserve">  CCS contracts will not be established with individuals/agencies until resume, two references</w:t>
      </w:r>
      <w:r w:rsidR="00F2282D" w:rsidRPr="00EB107A">
        <w:rPr>
          <w:rFonts w:ascii="Calibri" w:hAnsi="Calibri"/>
          <w:sz w:val="22"/>
          <w:szCs w:val="22"/>
        </w:rPr>
        <w:t>, current background check, and applicable license/certification for each CCS staff are submitted to the contracting county(</w:t>
      </w:r>
      <w:proofErr w:type="spellStart"/>
      <w:r w:rsidR="00F2282D" w:rsidRPr="00EB107A">
        <w:rPr>
          <w:rFonts w:ascii="Calibri" w:hAnsi="Calibri"/>
          <w:sz w:val="22"/>
          <w:szCs w:val="22"/>
        </w:rPr>
        <w:t>ies</w:t>
      </w:r>
      <w:proofErr w:type="spellEnd"/>
      <w:r w:rsidR="00F2282D" w:rsidRPr="00EB107A">
        <w:rPr>
          <w:rFonts w:ascii="Calibri" w:hAnsi="Calibri"/>
          <w:sz w:val="22"/>
          <w:szCs w:val="22"/>
        </w:rPr>
        <w:t>).</w:t>
      </w:r>
    </w:p>
    <w:p w14:paraId="678394BF" w14:textId="77777777" w:rsidR="00D72735" w:rsidRPr="00EB107A" w:rsidRDefault="00D72735" w:rsidP="00031811">
      <w:pPr>
        <w:pStyle w:val="ListParagraph"/>
        <w:ind w:left="360"/>
        <w:rPr>
          <w:rFonts w:ascii="Calibri" w:hAnsi="Calibri"/>
          <w:sz w:val="22"/>
          <w:szCs w:val="22"/>
        </w:rPr>
      </w:pPr>
    </w:p>
    <w:p w14:paraId="3DEE471E" w14:textId="77777777" w:rsidR="00D72735" w:rsidRPr="00EB107A" w:rsidRDefault="00D72735" w:rsidP="00576C94">
      <w:pPr>
        <w:pStyle w:val="ListParagraph"/>
        <w:ind w:left="0"/>
        <w:rPr>
          <w:rFonts w:ascii="Calibri" w:hAnsi="Calibri"/>
          <w:b/>
          <w:sz w:val="22"/>
          <w:szCs w:val="22"/>
        </w:rPr>
      </w:pPr>
      <w:r w:rsidRPr="00EB107A">
        <w:rPr>
          <w:rFonts w:ascii="Calibri" w:hAnsi="Calibri"/>
          <w:b/>
          <w:sz w:val="22"/>
          <w:szCs w:val="22"/>
        </w:rPr>
        <w:t>Supervision and Clinical Collaboration</w:t>
      </w:r>
    </w:p>
    <w:p w14:paraId="792B1AAB" w14:textId="77777777" w:rsidR="00D72735" w:rsidRPr="00EB107A" w:rsidRDefault="00D72735" w:rsidP="002D4418">
      <w:pPr>
        <w:pStyle w:val="ListParagraph"/>
        <w:spacing w:before="60"/>
        <w:ind w:left="360"/>
        <w:contextualSpacing w:val="0"/>
        <w:rPr>
          <w:rFonts w:ascii="Calibri" w:hAnsi="Calibri"/>
          <w:sz w:val="22"/>
          <w:szCs w:val="22"/>
        </w:rPr>
      </w:pPr>
      <w:r w:rsidRPr="00EB107A">
        <w:rPr>
          <w:rFonts w:ascii="Calibri" w:hAnsi="Calibri"/>
          <w:sz w:val="22"/>
          <w:szCs w:val="22"/>
        </w:rPr>
        <w:t>In accordance with DHS 36.11, all CCS staff are required to be supervised and provided with the consultation needed to perform assigned functions to ensure effective service delivery.</w:t>
      </w:r>
    </w:p>
    <w:p w14:paraId="0DD11894" w14:textId="5C0000F1" w:rsidR="002E12C2" w:rsidRPr="00EB107A" w:rsidRDefault="000D1B1C" w:rsidP="002D4418">
      <w:pPr>
        <w:spacing w:before="60"/>
        <w:ind w:left="360" w:right="90"/>
        <w:rPr>
          <w:rFonts w:ascii="Calibri" w:hAnsi="Calibri"/>
          <w:sz w:val="22"/>
          <w:szCs w:val="22"/>
        </w:rPr>
      </w:pPr>
      <w:r w:rsidRPr="00EB107A">
        <w:rPr>
          <w:rFonts w:ascii="Calibri" w:hAnsi="Calibri"/>
          <w:sz w:val="22"/>
          <w:szCs w:val="22"/>
        </w:rPr>
        <w:t>Provision of s</w:t>
      </w:r>
      <w:r w:rsidR="002E12C2" w:rsidRPr="00EB107A">
        <w:rPr>
          <w:rFonts w:ascii="Calibri" w:hAnsi="Calibri"/>
          <w:sz w:val="22"/>
          <w:szCs w:val="22"/>
        </w:rPr>
        <w:t>upervision</w:t>
      </w:r>
      <w:r w:rsidRPr="00EB107A">
        <w:rPr>
          <w:rFonts w:ascii="Calibri" w:hAnsi="Calibri"/>
          <w:sz w:val="22"/>
          <w:szCs w:val="22"/>
        </w:rPr>
        <w:t xml:space="preserve"> is the responsibility of the </w:t>
      </w:r>
      <w:r w:rsidR="00EA2DDF" w:rsidRPr="00EB107A">
        <w:rPr>
          <w:rFonts w:ascii="Calibri" w:hAnsi="Calibri"/>
          <w:sz w:val="22"/>
          <w:szCs w:val="22"/>
        </w:rPr>
        <w:t>provider agency and</w:t>
      </w:r>
      <w:r w:rsidR="002E12C2" w:rsidRPr="00EB107A">
        <w:rPr>
          <w:rFonts w:ascii="Calibri" w:hAnsi="Calibri"/>
          <w:sz w:val="22"/>
          <w:szCs w:val="22"/>
        </w:rPr>
        <w:t xml:space="preserve"> may be accomplished by:</w:t>
      </w:r>
    </w:p>
    <w:p w14:paraId="29A88DA1" w14:textId="09B12F2C" w:rsidR="002E12C2" w:rsidRPr="00EB107A" w:rsidRDefault="002E12C2" w:rsidP="002D4418">
      <w:pPr>
        <w:numPr>
          <w:ilvl w:val="0"/>
          <w:numId w:val="10"/>
        </w:numPr>
        <w:spacing w:before="60"/>
        <w:ind w:right="90"/>
        <w:rPr>
          <w:rFonts w:ascii="Calibri" w:hAnsi="Calibri"/>
          <w:sz w:val="22"/>
          <w:szCs w:val="22"/>
        </w:rPr>
      </w:pPr>
      <w:r w:rsidRPr="00EB107A">
        <w:rPr>
          <w:rFonts w:ascii="Calibri" w:hAnsi="Calibri"/>
          <w:sz w:val="22"/>
          <w:szCs w:val="22"/>
        </w:rPr>
        <w:t xml:space="preserve">Individual sessions with the staff member to </w:t>
      </w:r>
      <w:r w:rsidR="00D829D8" w:rsidRPr="00EB107A">
        <w:rPr>
          <w:rFonts w:ascii="Calibri" w:hAnsi="Calibri"/>
          <w:sz w:val="22"/>
          <w:szCs w:val="22"/>
        </w:rPr>
        <w:t xml:space="preserve">review cases, </w:t>
      </w:r>
      <w:r w:rsidRPr="00EB107A">
        <w:rPr>
          <w:rFonts w:ascii="Calibri" w:hAnsi="Calibri"/>
          <w:sz w:val="22"/>
          <w:szCs w:val="22"/>
        </w:rPr>
        <w:t>assess performance</w:t>
      </w:r>
      <w:r w:rsidR="00D829D8" w:rsidRPr="00EB107A">
        <w:rPr>
          <w:rFonts w:ascii="Calibri" w:hAnsi="Calibri"/>
          <w:sz w:val="22"/>
          <w:szCs w:val="22"/>
        </w:rPr>
        <w:t>,</w:t>
      </w:r>
      <w:r w:rsidRPr="00EB107A">
        <w:rPr>
          <w:rFonts w:ascii="Calibri" w:hAnsi="Calibri"/>
          <w:sz w:val="22"/>
          <w:szCs w:val="22"/>
        </w:rPr>
        <w:t xml:space="preserve"> and provide feedback</w:t>
      </w:r>
      <w:r w:rsidR="00D829D8" w:rsidRPr="00EB107A">
        <w:rPr>
          <w:rFonts w:ascii="Calibri" w:hAnsi="Calibri"/>
          <w:sz w:val="22"/>
          <w:szCs w:val="22"/>
        </w:rPr>
        <w:t>.</w:t>
      </w:r>
    </w:p>
    <w:p w14:paraId="424E253E" w14:textId="526D5A9D" w:rsidR="002E12C2" w:rsidRPr="00EB107A" w:rsidRDefault="002E12C2" w:rsidP="002D4418">
      <w:pPr>
        <w:numPr>
          <w:ilvl w:val="0"/>
          <w:numId w:val="10"/>
        </w:numPr>
        <w:spacing w:before="60"/>
        <w:ind w:right="90"/>
        <w:rPr>
          <w:rFonts w:ascii="Calibri" w:hAnsi="Calibri"/>
          <w:sz w:val="22"/>
          <w:szCs w:val="22"/>
        </w:rPr>
      </w:pPr>
      <w:r w:rsidRPr="00EB107A">
        <w:rPr>
          <w:rFonts w:ascii="Calibri" w:hAnsi="Calibri"/>
          <w:sz w:val="22"/>
          <w:szCs w:val="22"/>
        </w:rPr>
        <w:t>Individual side-by-side session</w:t>
      </w:r>
      <w:r w:rsidR="00D829D8" w:rsidRPr="00EB107A">
        <w:rPr>
          <w:rFonts w:ascii="Calibri" w:hAnsi="Calibri"/>
          <w:sz w:val="22"/>
          <w:szCs w:val="22"/>
        </w:rPr>
        <w:t>s</w:t>
      </w:r>
      <w:r w:rsidRPr="00EB107A">
        <w:rPr>
          <w:rFonts w:ascii="Calibri" w:hAnsi="Calibri"/>
          <w:sz w:val="22"/>
          <w:szCs w:val="22"/>
        </w:rPr>
        <w:t xml:space="preserve"> in which the supervisor is present while the staff member </w:t>
      </w:r>
      <w:r w:rsidR="00D829D8" w:rsidRPr="00EB107A">
        <w:rPr>
          <w:rFonts w:ascii="Calibri" w:hAnsi="Calibri"/>
          <w:sz w:val="22"/>
          <w:szCs w:val="22"/>
        </w:rPr>
        <w:t>conducts</w:t>
      </w:r>
      <w:r w:rsidRPr="00EB107A">
        <w:rPr>
          <w:rFonts w:ascii="Calibri" w:hAnsi="Calibri"/>
          <w:sz w:val="22"/>
          <w:szCs w:val="22"/>
        </w:rPr>
        <w:t xml:space="preserve"> assessments, service planning meetings, or services where the supervisor assesses, teaches, and gives advice regarding the staff member’s performance.</w:t>
      </w:r>
    </w:p>
    <w:p w14:paraId="4AF78780" w14:textId="4C07A5A2" w:rsidR="002E12C2" w:rsidRPr="00EB107A" w:rsidRDefault="002E12C2" w:rsidP="002D4418">
      <w:pPr>
        <w:numPr>
          <w:ilvl w:val="0"/>
          <w:numId w:val="10"/>
        </w:numPr>
        <w:spacing w:before="60"/>
        <w:ind w:right="90"/>
        <w:rPr>
          <w:rFonts w:ascii="Calibri" w:hAnsi="Calibri"/>
          <w:sz w:val="22"/>
          <w:szCs w:val="22"/>
        </w:rPr>
      </w:pPr>
      <w:r w:rsidRPr="00EB107A">
        <w:rPr>
          <w:rFonts w:ascii="Calibri" w:hAnsi="Calibri"/>
          <w:sz w:val="22"/>
          <w:szCs w:val="22"/>
        </w:rPr>
        <w:t>Group meetings to review and assess staff performance and provide advice or direction regarding specific situations or strategies</w:t>
      </w:r>
      <w:r w:rsidR="00733823" w:rsidRPr="00EB107A">
        <w:rPr>
          <w:rFonts w:ascii="Calibri" w:hAnsi="Calibri"/>
          <w:sz w:val="22"/>
          <w:szCs w:val="22"/>
        </w:rPr>
        <w:t>.</w:t>
      </w:r>
    </w:p>
    <w:p w14:paraId="0BFEF620" w14:textId="77777777" w:rsidR="00D72735" w:rsidRPr="00EB107A" w:rsidRDefault="00D72735" w:rsidP="002D4418">
      <w:pPr>
        <w:spacing w:before="60"/>
        <w:ind w:left="360" w:right="90"/>
        <w:rPr>
          <w:rFonts w:ascii="Calibri" w:hAnsi="Calibri"/>
          <w:sz w:val="22"/>
          <w:szCs w:val="22"/>
        </w:rPr>
      </w:pPr>
      <w:r w:rsidRPr="00EB107A">
        <w:rPr>
          <w:rFonts w:ascii="Calibri" w:hAnsi="Calibri"/>
          <w:sz w:val="22"/>
          <w:szCs w:val="22"/>
        </w:rPr>
        <w:t xml:space="preserve">For Psychiatrists, Psychologists, physicians, psychiatric residents, LCSW, LPC, LMFT, adult psychiatric and mental health nurse practitioners, and advanced nurse prescribers this involves a minimum of at least one hour of either supervision or clinical collaboration per month or for every 120-clock </w:t>
      </w:r>
      <w:proofErr w:type="gramStart"/>
      <w:r w:rsidRPr="00EB107A">
        <w:rPr>
          <w:rFonts w:ascii="Calibri" w:hAnsi="Calibri"/>
          <w:sz w:val="22"/>
          <w:szCs w:val="22"/>
        </w:rPr>
        <w:t>hours</w:t>
      </w:r>
      <w:proofErr w:type="gramEnd"/>
      <w:r w:rsidRPr="00EB107A">
        <w:rPr>
          <w:rFonts w:ascii="Calibri" w:hAnsi="Calibri"/>
          <w:sz w:val="22"/>
          <w:szCs w:val="22"/>
        </w:rPr>
        <w:t xml:space="preserve"> of face-to-face psychosocial rehabilitation services they provide. </w:t>
      </w:r>
    </w:p>
    <w:p w14:paraId="4A74A02B" w14:textId="77777777" w:rsidR="002D4418" w:rsidRPr="00EB107A" w:rsidRDefault="00D72735" w:rsidP="002D4418">
      <w:pPr>
        <w:spacing w:before="60"/>
        <w:ind w:left="360" w:right="90"/>
        <w:rPr>
          <w:rFonts w:ascii="Calibri" w:hAnsi="Calibri"/>
          <w:sz w:val="22"/>
          <w:szCs w:val="22"/>
        </w:rPr>
      </w:pPr>
      <w:r w:rsidRPr="00EB107A">
        <w:rPr>
          <w:rFonts w:ascii="Calibri" w:hAnsi="Calibri"/>
          <w:sz w:val="22"/>
          <w:szCs w:val="22"/>
        </w:rPr>
        <w:t>For all other staff, supervision involves day-to-day supervision and consultation</w:t>
      </w:r>
      <w:r w:rsidR="002E12C2" w:rsidRPr="00EB107A">
        <w:rPr>
          <w:rFonts w:ascii="Calibri" w:hAnsi="Calibri"/>
          <w:sz w:val="22"/>
          <w:szCs w:val="22"/>
        </w:rPr>
        <w:t xml:space="preserve">, </w:t>
      </w:r>
      <w:r w:rsidR="002E12C2" w:rsidRPr="00EB107A">
        <w:rPr>
          <w:rFonts w:ascii="Calibri" w:hAnsi="Calibri"/>
          <w:i/>
          <w:sz w:val="22"/>
          <w:szCs w:val="22"/>
        </w:rPr>
        <w:t xml:space="preserve">and </w:t>
      </w:r>
      <w:r w:rsidRPr="00EB107A">
        <w:rPr>
          <w:rFonts w:ascii="Calibri" w:hAnsi="Calibri"/>
          <w:sz w:val="22"/>
          <w:szCs w:val="22"/>
        </w:rPr>
        <w:t xml:space="preserve">at least one hour </w:t>
      </w:r>
      <w:r w:rsidR="002E12C2" w:rsidRPr="00EB107A">
        <w:rPr>
          <w:rFonts w:ascii="Calibri" w:hAnsi="Calibri"/>
          <w:sz w:val="22"/>
          <w:szCs w:val="22"/>
        </w:rPr>
        <w:t xml:space="preserve">of supervision </w:t>
      </w:r>
      <w:r w:rsidRPr="00EB107A">
        <w:rPr>
          <w:rFonts w:ascii="Calibri" w:hAnsi="Calibri"/>
          <w:sz w:val="22"/>
          <w:szCs w:val="22"/>
        </w:rPr>
        <w:t>per week or for every 30 clock hours of face-to-face psychosocial rehabilitation services or service facilitation they provide.</w:t>
      </w:r>
    </w:p>
    <w:p w14:paraId="6AAE51C0" w14:textId="2739E5FC" w:rsidR="00D72735" w:rsidRPr="00EB107A" w:rsidRDefault="00D72735" w:rsidP="002D4418">
      <w:pPr>
        <w:spacing w:before="60"/>
        <w:ind w:left="360" w:right="90"/>
        <w:rPr>
          <w:rFonts w:ascii="Calibri" w:hAnsi="Calibri"/>
          <w:sz w:val="22"/>
          <w:szCs w:val="22"/>
        </w:rPr>
      </w:pPr>
      <w:r w:rsidRPr="00EB107A">
        <w:rPr>
          <w:rFonts w:ascii="Calibri" w:hAnsi="Calibri"/>
          <w:sz w:val="22"/>
          <w:szCs w:val="22"/>
        </w:rPr>
        <w:t xml:space="preserve">Clinical supervision and clinical collaboration records </w:t>
      </w:r>
      <w:r w:rsidR="00733823" w:rsidRPr="00EB107A">
        <w:rPr>
          <w:rFonts w:ascii="Calibri" w:hAnsi="Calibri"/>
          <w:sz w:val="22"/>
          <w:szCs w:val="22"/>
        </w:rPr>
        <w:t xml:space="preserve">may be </w:t>
      </w:r>
      <w:r w:rsidRPr="00EB107A">
        <w:rPr>
          <w:rFonts w:ascii="Calibri" w:hAnsi="Calibri"/>
          <w:sz w:val="22"/>
          <w:szCs w:val="22"/>
        </w:rPr>
        <w:t xml:space="preserve">kept in the form of a master log, a supervisory record, in staff record for each staff person who attends the session or review, or in the consumer record. </w:t>
      </w:r>
      <w:r w:rsidR="00733823" w:rsidRPr="00EB107A">
        <w:rPr>
          <w:rFonts w:ascii="Calibri" w:hAnsi="Calibri"/>
          <w:sz w:val="22"/>
          <w:szCs w:val="22"/>
        </w:rPr>
        <w:t xml:space="preserve"> </w:t>
      </w:r>
      <w:r w:rsidRPr="00EB107A">
        <w:rPr>
          <w:rFonts w:ascii="Calibri" w:hAnsi="Calibri"/>
          <w:sz w:val="22"/>
          <w:szCs w:val="22"/>
        </w:rPr>
        <w:t>Individual case staffing notes are kept when specific cases are being staffed.  Notes are included in the consumer’s record to reflect discussion, outcome, and any treatment recommendations that may have been discussed. The note is dated and signed off by the staff member conducting supervision</w:t>
      </w:r>
      <w:r w:rsidR="00461A8C" w:rsidRPr="00EB107A">
        <w:rPr>
          <w:rFonts w:ascii="Calibri" w:hAnsi="Calibri"/>
          <w:sz w:val="22"/>
          <w:szCs w:val="22"/>
        </w:rPr>
        <w:t>.</w:t>
      </w:r>
      <w:r w:rsidR="00B03D5A" w:rsidRPr="00EB107A">
        <w:rPr>
          <w:rFonts w:ascii="Calibri" w:hAnsi="Calibri"/>
          <w:sz w:val="22"/>
          <w:szCs w:val="22"/>
        </w:rPr>
        <w:t xml:space="preserve">  Examples of individuals qualified to </w:t>
      </w:r>
      <w:r w:rsidR="005F331B" w:rsidRPr="00EB107A">
        <w:rPr>
          <w:rFonts w:ascii="Calibri" w:hAnsi="Calibri"/>
          <w:sz w:val="22"/>
          <w:szCs w:val="22"/>
        </w:rPr>
        <w:t xml:space="preserve">provide supervision </w:t>
      </w:r>
      <w:r w:rsidR="001F7CD6" w:rsidRPr="00EB107A">
        <w:rPr>
          <w:rFonts w:ascii="Calibri" w:hAnsi="Calibri"/>
          <w:sz w:val="22"/>
          <w:szCs w:val="22"/>
        </w:rPr>
        <w:t>include</w:t>
      </w:r>
      <w:r w:rsidR="005F331B" w:rsidRPr="00EB107A">
        <w:rPr>
          <w:rFonts w:ascii="Calibri" w:hAnsi="Calibri"/>
          <w:sz w:val="22"/>
          <w:szCs w:val="22"/>
        </w:rPr>
        <w:t xml:space="preserve"> psychiatrists, physicians, psychologists, licensed independent clinical social workers, and </w:t>
      </w:r>
      <w:r w:rsidR="00345D85" w:rsidRPr="00EB107A">
        <w:rPr>
          <w:rFonts w:ascii="Calibri" w:hAnsi="Calibri"/>
          <w:sz w:val="22"/>
          <w:szCs w:val="22"/>
        </w:rPr>
        <w:t>professional marriage and family therapists</w:t>
      </w:r>
      <w:r w:rsidR="00F635EC" w:rsidRPr="00EB107A">
        <w:rPr>
          <w:rFonts w:ascii="Calibri" w:hAnsi="Calibri"/>
          <w:sz w:val="22"/>
          <w:szCs w:val="22"/>
        </w:rPr>
        <w:t xml:space="preserve"> (see</w:t>
      </w:r>
      <w:r w:rsidRPr="00EB107A">
        <w:rPr>
          <w:rFonts w:ascii="Calibri" w:hAnsi="Calibri"/>
          <w:sz w:val="22"/>
          <w:szCs w:val="22"/>
        </w:rPr>
        <w:t xml:space="preserve"> s. DHS 36.10 (2) (g) 1-8</w:t>
      </w:r>
      <w:r w:rsidR="00C32EF3" w:rsidRPr="00EB107A">
        <w:rPr>
          <w:rFonts w:ascii="Calibri" w:hAnsi="Calibri"/>
          <w:sz w:val="22"/>
          <w:szCs w:val="22"/>
        </w:rPr>
        <w:t xml:space="preserve"> for a </w:t>
      </w:r>
      <w:r w:rsidR="00B03D5A" w:rsidRPr="00EB107A">
        <w:rPr>
          <w:rFonts w:ascii="Calibri" w:hAnsi="Calibri"/>
          <w:sz w:val="22"/>
          <w:szCs w:val="22"/>
        </w:rPr>
        <w:t xml:space="preserve">complete </w:t>
      </w:r>
      <w:r w:rsidR="00C32EF3" w:rsidRPr="00EB107A">
        <w:rPr>
          <w:rFonts w:ascii="Calibri" w:hAnsi="Calibri"/>
          <w:sz w:val="22"/>
          <w:szCs w:val="22"/>
        </w:rPr>
        <w:t>list of qualified supervisors)</w:t>
      </w:r>
      <w:r w:rsidRPr="00EB107A">
        <w:rPr>
          <w:rFonts w:ascii="Calibri" w:hAnsi="Calibri"/>
          <w:sz w:val="22"/>
          <w:szCs w:val="22"/>
        </w:rPr>
        <w:t xml:space="preserve">.  </w:t>
      </w:r>
      <w:r w:rsidR="00AD066E" w:rsidRPr="00EB107A">
        <w:rPr>
          <w:rFonts w:ascii="Calibri" w:hAnsi="Calibri"/>
          <w:sz w:val="22"/>
          <w:szCs w:val="22"/>
        </w:rPr>
        <w:t>Supervision logs shall be submitted to the counties</w:t>
      </w:r>
      <w:r w:rsidR="00486AD7" w:rsidRPr="00EB107A">
        <w:rPr>
          <w:rFonts w:ascii="Calibri" w:hAnsi="Calibri"/>
          <w:sz w:val="22"/>
          <w:szCs w:val="22"/>
        </w:rPr>
        <w:t xml:space="preserve"> in which services are being provided.  </w:t>
      </w:r>
      <w:r w:rsidR="00456772" w:rsidRPr="00EB107A">
        <w:rPr>
          <w:rFonts w:ascii="Calibri" w:hAnsi="Calibri"/>
          <w:sz w:val="22"/>
          <w:szCs w:val="22"/>
        </w:rPr>
        <w:t>Monthly supervision logs, including dates and times of supervision provided</w:t>
      </w:r>
      <w:r w:rsidR="00CD0FF8" w:rsidRPr="00EB107A">
        <w:rPr>
          <w:rFonts w:ascii="Calibri" w:hAnsi="Calibri"/>
          <w:sz w:val="22"/>
          <w:szCs w:val="22"/>
        </w:rPr>
        <w:t xml:space="preserve">, and supervisor signature must be submitted along with invoices to the counties in which services are being provided.  Payment will be withheld until monthly supervision log(s) are received.  </w:t>
      </w:r>
    </w:p>
    <w:p w14:paraId="3C832A43" w14:textId="77777777" w:rsidR="00D72735" w:rsidRPr="00EB107A" w:rsidRDefault="00D72735" w:rsidP="00D72735">
      <w:pPr>
        <w:ind w:left="720"/>
        <w:rPr>
          <w:rFonts w:ascii="Calibri" w:hAnsi="Calibri"/>
          <w:sz w:val="22"/>
          <w:szCs w:val="22"/>
        </w:rPr>
      </w:pPr>
    </w:p>
    <w:p w14:paraId="0EF91B51" w14:textId="77777777" w:rsidR="00D72735" w:rsidRPr="00EB107A" w:rsidRDefault="00D72735" w:rsidP="00576C94">
      <w:pPr>
        <w:rPr>
          <w:rFonts w:ascii="Calibri" w:hAnsi="Calibri"/>
          <w:b/>
          <w:sz w:val="22"/>
          <w:szCs w:val="22"/>
        </w:rPr>
      </w:pPr>
      <w:r w:rsidRPr="00EB107A">
        <w:rPr>
          <w:rFonts w:ascii="Calibri" w:hAnsi="Calibri"/>
          <w:b/>
          <w:sz w:val="22"/>
          <w:szCs w:val="22"/>
        </w:rPr>
        <w:t>Orientation and Training</w:t>
      </w:r>
    </w:p>
    <w:p w14:paraId="0599B724" w14:textId="46572970" w:rsidR="006A4049" w:rsidRPr="00EB107A" w:rsidRDefault="006A4049" w:rsidP="000A3B2D">
      <w:pPr>
        <w:tabs>
          <w:tab w:val="left" w:pos="1440"/>
        </w:tabs>
        <w:spacing w:before="60"/>
        <w:ind w:left="360" w:right="86"/>
        <w:rPr>
          <w:rFonts w:ascii="Calibri" w:hAnsi="Calibri"/>
          <w:sz w:val="22"/>
          <w:szCs w:val="22"/>
        </w:rPr>
      </w:pPr>
      <w:r w:rsidRPr="00EB107A">
        <w:rPr>
          <w:rFonts w:ascii="Calibri" w:hAnsi="Calibri"/>
          <w:sz w:val="22"/>
          <w:szCs w:val="22"/>
        </w:rPr>
        <w:t>Required orientation and training are the responsibility of the provider to complete within the first three months</w:t>
      </w:r>
      <w:r w:rsidR="00DF5D09" w:rsidRPr="00EB107A">
        <w:rPr>
          <w:rFonts w:ascii="Calibri" w:hAnsi="Calibri"/>
          <w:sz w:val="22"/>
          <w:szCs w:val="22"/>
        </w:rPr>
        <w:t xml:space="preserve"> prior to </w:t>
      </w:r>
      <w:r w:rsidRPr="00EB107A">
        <w:rPr>
          <w:rFonts w:ascii="Calibri" w:hAnsi="Calibri"/>
          <w:sz w:val="22"/>
          <w:szCs w:val="22"/>
        </w:rPr>
        <w:t>starting employment with the CCS program</w:t>
      </w:r>
      <w:r w:rsidR="00BD66CA" w:rsidRPr="00EB107A">
        <w:rPr>
          <w:rFonts w:ascii="Calibri" w:hAnsi="Calibri"/>
          <w:sz w:val="22"/>
          <w:szCs w:val="22"/>
        </w:rPr>
        <w:t>.</w:t>
      </w:r>
      <w:r w:rsidRPr="00EB107A">
        <w:rPr>
          <w:rFonts w:ascii="Calibri" w:hAnsi="Calibri"/>
          <w:sz w:val="22"/>
          <w:szCs w:val="22"/>
        </w:rPr>
        <w:t xml:space="preserve"> </w:t>
      </w:r>
      <w:r w:rsidR="0035147C" w:rsidRPr="00EB107A">
        <w:rPr>
          <w:rFonts w:ascii="Calibri" w:hAnsi="Calibri"/>
          <w:sz w:val="22"/>
          <w:szCs w:val="22"/>
        </w:rPr>
        <w:t xml:space="preserve"> </w:t>
      </w:r>
      <w:r w:rsidR="00270937" w:rsidRPr="00EB107A">
        <w:rPr>
          <w:rFonts w:ascii="Calibri" w:hAnsi="Calibri"/>
          <w:sz w:val="22"/>
          <w:szCs w:val="22"/>
        </w:rPr>
        <w:t xml:space="preserve">Documentation of completed orientation training requirements must be </w:t>
      </w:r>
      <w:r w:rsidR="00031811" w:rsidRPr="00EB107A">
        <w:rPr>
          <w:rFonts w:ascii="Calibri" w:hAnsi="Calibri"/>
          <w:sz w:val="22"/>
          <w:szCs w:val="22"/>
        </w:rPr>
        <w:t>submitted</w:t>
      </w:r>
      <w:r w:rsidR="00270937" w:rsidRPr="00EB107A">
        <w:rPr>
          <w:rFonts w:ascii="Calibri" w:hAnsi="Calibri"/>
          <w:sz w:val="22"/>
          <w:szCs w:val="22"/>
        </w:rPr>
        <w:t xml:space="preserve"> to the </w:t>
      </w:r>
      <w:r w:rsidR="006A74A5" w:rsidRPr="00EB107A">
        <w:rPr>
          <w:rFonts w:ascii="Calibri" w:hAnsi="Calibri"/>
          <w:sz w:val="22"/>
          <w:szCs w:val="22"/>
        </w:rPr>
        <w:t>counties in which services are to be provided</w:t>
      </w:r>
      <w:r w:rsidR="00270937" w:rsidRPr="00EB107A">
        <w:rPr>
          <w:rFonts w:ascii="Calibri" w:hAnsi="Calibri"/>
          <w:sz w:val="22"/>
          <w:szCs w:val="22"/>
        </w:rPr>
        <w:t xml:space="preserve"> </w:t>
      </w:r>
      <w:r w:rsidR="006F30CB" w:rsidRPr="00EB107A">
        <w:rPr>
          <w:rFonts w:ascii="Calibri" w:hAnsi="Calibri"/>
          <w:sz w:val="22"/>
          <w:szCs w:val="22"/>
        </w:rPr>
        <w:t>prior to the implementation of this contract and prior to any new staff providing CCS services.</w:t>
      </w:r>
    </w:p>
    <w:p w14:paraId="05BEF68E" w14:textId="77777777" w:rsidR="006F30CB" w:rsidRPr="00EB107A" w:rsidRDefault="006F30CB">
      <w:pPr>
        <w:rPr>
          <w:rFonts w:ascii="Calibri" w:hAnsi="Calibri"/>
          <w:i/>
          <w:sz w:val="22"/>
          <w:szCs w:val="22"/>
        </w:rPr>
      </w:pPr>
      <w:r w:rsidRPr="00EB107A">
        <w:rPr>
          <w:rFonts w:ascii="Calibri" w:hAnsi="Calibri"/>
          <w:i/>
          <w:sz w:val="22"/>
          <w:szCs w:val="22"/>
        </w:rPr>
        <w:br w:type="page"/>
      </w:r>
    </w:p>
    <w:p w14:paraId="088F7D1A" w14:textId="18DD8834" w:rsidR="00D72735" w:rsidRPr="00EB107A" w:rsidRDefault="00D72735" w:rsidP="000A3B2D">
      <w:pPr>
        <w:pStyle w:val="BodyText"/>
        <w:spacing w:before="60"/>
        <w:ind w:left="360" w:right="90"/>
        <w:rPr>
          <w:rFonts w:ascii="Calibri" w:hAnsi="Calibri"/>
          <w:i/>
          <w:sz w:val="22"/>
          <w:szCs w:val="22"/>
        </w:rPr>
      </w:pPr>
      <w:r w:rsidRPr="00EB107A">
        <w:rPr>
          <w:rFonts w:ascii="Calibri" w:hAnsi="Calibri"/>
          <w:i/>
          <w:sz w:val="22"/>
          <w:szCs w:val="22"/>
        </w:rPr>
        <w:lastRenderedPageBreak/>
        <w:t xml:space="preserve">Orientation </w:t>
      </w:r>
      <w:r w:rsidR="00031811" w:rsidRPr="00EB107A">
        <w:rPr>
          <w:rFonts w:ascii="Calibri" w:hAnsi="Calibri"/>
          <w:i/>
          <w:sz w:val="22"/>
          <w:szCs w:val="22"/>
        </w:rPr>
        <w:t>Training Requirements</w:t>
      </w:r>
      <w:r w:rsidRPr="00EB107A">
        <w:rPr>
          <w:rFonts w:ascii="Calibri" w:hAnsi="Calibri"/>
          <w:i/>
          <w:sz w:val="22"/>
          <w:szCs w:val="22"/>
        </w:rPr>
        <w:t>:</w:t>
      </w:r>
    </w:p>
    <w:p w14:paraId="03BEFFD4" w14:textId="77777777" w:rsidR="00D72735" w:rsidRPr="00EB107A" w:rsidRDefault="00D72735" w:rsidP="000A3B2D">
      <w:pPr>
        <w:numPr>
          <w:ilvl w:val="0"/>
          <w:numId w:val="8"/>
        </w:numPr>
        <w:tabs>
          <w:tab w:val="left" w:pos="1080"/>
        </w:tabs>
        <w:spacing w:before="60"/>
        <w:ind w:right="86"/>
        <w:rPr>
          <w:rFonts w:ascii="Calibri" w:hAnsi="Calibri"/>
          <w:sz w:val="22"/>
          <w:szCs w:val="22"/>
        </w:rPr>
      </w:pPr>
      <w:r w:rsidRPr="00EB107A">
        <w:rPr>
          <w:rFonts w:ascii="Calibri" w:hAnsi="Calibri"/>
          <w:sz w:val="22"/>
          <w:szCs w:val="22"/>
        </w:rPr>
        <w:t xml:space="preserve">At least 40 hours of documented orientation training within 3 months of beginning employment for each staff member who has less than 6 months experience providing psychosocial rehabilitation services to children or adults with mental disorders or substance-use disorders. </w:t>
      </w:r>
    </w:p>
    <w:p w14:paraId="51691007" w14:textId="77777777" w:rsidR="00D72735" w:rsidRPr="00EB107A" w:rsidRDefault="00D72735" w:rsidP="000A3B2D">
      <w:pPr>
        <w:numPr>
          <w:ilvl w:val="0"/>
          <w:numId w:val="8"/>
        </w:numPr>
        <w:tabs>
          <w:tab w:val="left" w:pos="1080"/>
        </w:tabs>
        <w:spacing w:before="60"/>
        <w:ind w:right="86"/>
        <w:rPr>
          <w:rFonts w:ascii="Calibri" w:hAnsi="Calibri"/>
          <w:sz w:val="22"/>
          <w:szCs w:val="22"/>
        </w:rPr>
      </w:pPr>
      <w:r w:rsidRPr="00EB107A">
        <w:rPr>
          <w:rFonts w:ascii="Calibri" w:hAnsi="Calibri"/>
          <w:sz w:val="22"/>
          <w:szCs w:val="22"/>
        </w:rPr>
        <w:t xml:space="preserve">At least 20 hours of documented orientation training within 3 months of beginning employment with the CCS for each staff member who has 6 months or more experience providing psychosocial rehabilitation services to children or adults with mental disorders or substance-use disorders. </w:t>
      </w:r>
    </w:p>
    <w:p w14:paraId="4698B63B" w14:textId="77777777" w:rsidR="00E17992" w:rsidRPr="00EB107A" w:rsidRDefault="00D72735" w:rsidP="000A3B2D">
      <w:pPr>
        <w:numPr>
          <w:ilvl w:val="0"/>
          <w:numId w:val="8"/>
        </w:numPr>
        <w:tabs>
          <w:tab w:val="left" w:pos="1080"/>
        </w:tabs>
        <w:spacing w:before="60"/>
        <w:ind w:right="86"/>
        <w:rPr>
          <w:rFonts w:ascii="Calibri" w:hAnsi="Calibri" w:cs="Calibri"/>
          <w:sz w:val="22"/>
          <w:szCs w:val="22"/>
        </w:rPr>
      </w:pPr>
      <w:r w:rsidRPr="00EB107A">
        <w:rPr>
          <w:rFonts w:ascii="Calibri" w:hAnsi="Calibri"/>
          <w:sz w:val="22"/>
          <w:szCs w:val="22"/>
        </w:rPr>
        <w:t xml:space="preserve">At </w:t>
      </w:r>
      <w:r w:rsidRPr="00EB107A">
        <w:rPr>
          <w:rFonts w:ascii="Calibri" w:hAnsi="Calibri" w:cs="Calibri"/>
          <w:sz w:val="22"/>
          <w:szCs w:val="22"/>
        </w:rPr>
        <w:t>least 40 hours of documented orientation training for each regularly scheduled volunteer before allowing the volunteer to work independently with consumers or family members.</w:t>
      </w:r>
    </w:p>
    <w:p w14:paraId="6B93DF88" w14:textId="77777777" w:rsidR="00E17992" w:rsidRPr="00EB107A" w:rsidRDefault="00E17992" w:rsidP="000A3B2D">
      <w:pPr>
        <w:numPr>
          <w:ilvl w:val="0"/>
          <w:numId w:val="8"/>
        </w:numPr>
        <w:tabs>
          <w:tab w:val="left" w:pos="1080"/>
        </w:tabs>
        <w:spacing w:before="60"/>
        <w:ind w:right="86"/>
        <w:rPr>
          <w:rFonts w:ascii="Calibri" w:hAnsi="Calibri" w:cs="Calibri"/>
          <w:sz w:val="22"/>
          <w:szCs w:val="22"/>
        </w:rPr>
      </w:pPr>
      <w:r w:rsidRPr="00EB107A">
        <w:rPr>
          <w:rFonts w:ascii="Calibri" w:hAnsi="Calibri" w:cs="Calibri"/>
          <w:bCs/>
          <w:color w:val="000000"/>
          <w:sz w:val="22"/>
          <w:szCs w:val="22"/>
          <w:u w:val="single"/>
          <w:lang w:val="en"/>
        </w:rPr>
        <w:t>In addition to</w:t>
      </w:r>
      <w:r w:rsidRPr="00EB107A">
        <w:rPr>
          <w:rFonts w:ascii="Calibri" w:hAnsi="Calibri" w:cs="Calibri"/>
          <w:bCs/>
          <w:color w:val="000000"/>
          <w:sz w:val="22"/>
          <w:szCs w:val="22"/>
          <w:lang w:val="en"/>
        </w:rPr>
        <w:t xml:space="preserve"> the 40 or 20 hours of documented orientation training referenced above, </w:t>
      </w:r>
      <w:r w:rsidRPr="00EB107A">
        <w:rPr>
          <w:rFonts w:ascii="Calibri" w:hAnsi="Calibri" w:cs="Calibri"/>
          <w:b/>
          <w:bCs/>
          <w:color w:val="000000"/>
          <w:sz w:val="22"/>
          <w:szCs w:val="22"/>
          <w:lang w:val="en"/>
        </w:rPr>
        <w:t>peer specialists and rehabilitation workers</w:t>
      </w:r>
      <w:r w:rsidRPr="00EB107A">
        <w:rPr>
          <w:rFonts w:ascii="Calibri" w:hAnsi="Calibri" w:cs="Calibri"/>
          <w:bCs/>
          <w:color w:val="000000"/>
          <w:sz w:val="22"/>
          <w:szCs w:val="22"/>
          <w:lang w:val="en"/>
        </w:rPr>
        <w:t xml:space="preserve"> must receive 30 hours of training during the past two years (prior to beginning employment with the CCS) on the following topics: recovery concepts, consumer rights, consumer-centered individual treatment planning, mental illness, co-occurring mental illness and substance abuse, psychotropic medications and side effects, functional assessment, local community resources, adult vulnerability, and consumer confidentiality (DHS 36.10(2)(g) 20 and 21).  </w:t>
      </w:r>
    </w:p>
    <w:p w14:paraId="69D2BB2E" w14:textId="77777777" w:rsidR="006A4049" w:rsidRPr="00EB107A" w:rsidRDefault="006A4049" w:rsidP="000A3B2D">
      <w:pPr>
        <w:tabs>
          <w:tab w:val="left" w:pos="1440"/>
        </w:tabs>
        <w:spacing w:before="60"/>
        <w:ind w:left="720" w:right="90"/>
        <w:rPr>
          <w:rFonts w:ascii="Calibri" w:hAnsi="Calibri"/>
          <w:sz w:val="22"/>
          <w:szCs w:val="22"/>
        </w:rPr>
      </w:pPr>
      <w:r w:rsidRPr="00EB107A">
        <w:rPr>
          <w:rFonts w:ascii="Calibri" w:hAnsi="Calibri" w:cs="Calibri"/>
          <w:sz w:val="22"/>
          <w:szCs w:val="22"/>
        </w:rPr>
        <w:t>For more information regarding orientation training requirements, including a log/checklist and</w:t>
      </w:r>
      <w:r w:rsidRPr="00EB107A">
        <w:rPr>
          <w:rFonts w:ascii="Calibri" w:hAnsi="Calibri"/>
          <w:sz w:val="22"/>
          <w:szCs w:val="22"/>
        </w:rPr>
        <w:t xml:space="preserve"> resources to fulfil the requirements, please visit the regional training orientation webpage: </w:t>
      </w:r>
      <w:hyperlink r:id="rId9" w:history="1">
        <w:r w:rsidRPr="00EB107A">
          <w:rPr>
            <w:rStyle w:val="Hyperlink"/>
            <w:rFonts w:ascii="Calibri" w:hAnsi="Calibri"/>
            <w:sz w:val="22"/>
            <w:szCs w:val="22"/>
          </w:rPr>
          <w:t>http://www.cwhpartnership.org/ccs-orientation.html</w:t>
        </w:r>
      </w:hyperlink>
      <w:r w:rsidRPr="00EB107A">
        <w:rPr>
          <w:rFonts w:ascii="Calibri" w:hAnsi="Calibri"/>
          <w:sz w:val="22"/>
          <w:szCs w:val="22"/>
        </w:rPr>
        <w:t xml:space="preserve">.  </w:t>
      </w:r>
    </w:p>
    <w:p w14:paraId="5463D3D6" w14:textId="77777777" w:rsidR="00E17992" w:rsidRPr="00EB107A" w:rsidRDefault="00E17992" w:rsidP="00031811">
      <w:pPr>
        <w:tabs>
          <w:tab w:val="left" w:pos="1440"/>
        </w:tabs>
        <w:ind w:left="360" w:right="90"/>
        <w:rPr>
          <w:rFonts w:ascii="Calibri" w:hAnsi="Calibri"/>
          <w:i/>
          <w:sz w:val="22"/>
          <w:szCs w:val="22"/>
        </w:rPr>
      </w:pPr>
    </w:p>
    <w:p w14:paraId="14C2A9D0" w14:textId="77777777" w:rsidR="006A4049" w:rsidRPr="00EB107A" w:rsidRDefault="006A4049" w:rsidP="00031811">
      <w:pPr>
        <w:tabs>
          <w:tab w:val="left" w:pos="1440"/>
        </w:tabs>
        <w:ind w:left="360" w:right="90"/>
        <w:rPr>
          <w:rFonts w:ascii="Calibri" w:hAnsi="Calibri"/>
          <w:i/>
          <w:sz w:val="22"/>
          <w:szCs w:val="22"/>
        </w:rPr>
      </w:pPr>
      <w:r w:rsidRPr="00EB107A">
        <w:rPr>
          <w:rFonts w:ascii="Calibri" w:hAnsi="Calibri"/>
          <w:i/>
          <w:sz w:val="22"/>
          <w:szCs w:val="22"/>
        </w:rPr>
        <w:t>Ongoing Training</w:t>
      </w:r>
      <w:r w:rsidR="00031811" w:rsidRPr="00EB107A">
        <w:rPr>
          <w:rFonts w:ascii="Calibri" w:hAnsi="Calibri"/>
          <w:i/>
          <w:sz w:val="22"/>
          <w:szCs w:val="22"/>
        </w:rPr>
        <w:t xml:space="preserve"> Requirements:</w:t>
      </w:r>
    </w:p>
    <w:p w14:paraId="7EC05956" w14:textId="69D95396" w:rsidR="0044387D" w:rsidRPr="00EB107A" w:rsidRDefault="006A4049" w:rsidP="0044387D">
      <w:pPr>
        <w:shd w:val="clear" w:color="auto" w:fill="FFFFFF"/>
        <w:tabs>
          <w:tab w:val="left" w:pos="1080"/>
        </w:tabs>
        <w:spacing w:before="60"/>
        <w:ind w:left="720"/>
        <w:rPr>
          <w:rFonts w:ascii="Calibri" w:hAnsi="Calibri" w:cs="Arial"/>
          <w:sz w:val="22"/>
          <w:szCs w:val="22"/>
        </w:rPr>
      </w:pPr>
      <w:r w:rsidRPr="00EB107A">
        <w:rPr>
          <w:rFonts w:ascii="Calibri" w:hAnsi="Calibri"/>
          <w:sz w:val="22"/>
          <w:szCs w:val="22"/>
        </w:rPr>
        <w:t>Each staff member shall receive at least eight hours of training each year that is designed to increase their knowledge and skills.</w:t>
      </w:r>
      <w:r w:rsidR="00305B37" w:rsidRPr="00EB107A">
        <w:rPr>
          <w:rFonts w:ascii="Calibri" w:hAnsi="Calibri"/>
          <w:sz w:val="22"/>
          <w:szCs w:val="22"/>
        </w:rPr>
        <w:t xml:space="preserve">  For current CCS providers, documentation of completed ongoing training requirements from the past year must accompany this signed contract.  </w:t>
      </w:r>
      <w:r w:rsidR="0044387D" w:rsidRPr="00EB107A">
        <w:rPr>
          <w:rFonts w:ascii="Calibri" w:hAnsi="Calibri"/>
          <w:sz w:val="22"/>
          <w:szCs w:val="22"/>
        </w:rPr>
        <w:t>In addition to completion of a training log</w:t>
      </w:r>
      <w:r w:rsidR="00D63AC4" w:rsidRPr="00EB107A">
        <w:rPr>
          <w:rFonts w:ascii="Calibri" w:hAnsi="Calibri" w:cs="Arial"/>
          <w:sz w:val="22"/>
          <w:szCs w:val="22"/>
        </w:rPr>
        <w:t>, attendance certificates should be included (if available).</w:t>
      </w:r>
    </w:p>
    <w:p w14:paraId="0BB69F5F" w14:textId="7B821555" w:rsidR="00031811" w:rsidRPr="00EB107A" w:rsidRDefault="00031811" w:rsidP="00AD4369">
      <w:pPr>
        <w:shd w:val="clear" w:color="auto" w:fill="FFFFFF"/>
        <w:tabs>
          <w:tab w:val="left" w:pos="1080"/>
        </w:tabs>
        <w:spacing w:before="60"/>
        <w:ind w:left="720"/>
        <w:rPr>
          <w:rFonts w:ascii="Calibri" w:hAnsi="Calibri" w:cs="Arial"/>
          <w:sz w:val="22"/>
          <w:szCs w:val="22"/>
        </w:rPr>
      </w:pPr>
      <w:r w:rsidRPr="00EB107A">
        <w:rPr>
          <w:rFonts w:ascii="Calibri" w:hAnsi="Calibri" w:cs="Arial"/>
          <w:sz w:val="22"/>
          <w:szCs w:val="22"/>
        </w:rPr>
        <w:t>For more information regarding ongoing training requirements, including an “ongoing training log”</w:t>
      </w:r>
      <w:r w:rsidR="00D63AC4" w:rsidRPr="00EB107A">
        <w:rPr>
          <w:rFonts w:ascii="Calibri" w:hAnsi="Calibri" w:cs="Arial"/>
          <w:sz w:val="22"/>
          <w:szCs w:val="22"/>
        </w:rPr>
        <w:t xml:space="preserve"> sample</w:t>
      </w:r>
      <w:r w:rsidRPr="00EB107A">
        <w:rPr>
          <w:rFonts w:ascii="Calibri" w:hAnsi="Calibri" w:cs="Arial"/>
          <w:sz w:val="22"/>
          <w:szCs w:val="22"/>
        </w:rPr>
        <w:t xml:space="preserve">, please visit the regional CCS ongoing training page: </w:t>
      </w:r>
      <w:hyperlink r:id="rId10" w:history="1">
        <w:r w:rsidRPr="00EB107A">
          <w:rPr>
            <w:rStyle w:val="Hyperlink"/>
            <w:rFonts w:ascii="Calibri" w:hAnsi="Calibri" w:cs="Arial"/>
            <w:sz w:val="22"/>
            <w:szCs w:val="22"/>
          </w:rPr>
          <w:t>http://www.cwhpartnership.org/ongoing-training.html</w:t>
        </w:r>
      </w:hyperlink>
      <w:r w:rsidRPr="00EB107A">
        <w:rPr>
          <w:rFonts w:ascii="Calibri" w:hAnsi="Calibri" w:cs="Arial"/>
          <w:sz w:val="22"/>
          <w:szCs w:val="22"/>
        </w:rPr>
        <w:t xml:space="preserve">. </w:t>
      </w:r>
    </w:p>
    <w:p w14:paraId="48430732" w14:textId="77777777" w:rsidR="00AD4369" w:rsidRPr="00EB107A" w:rsidRDefault="00AD4369" w:rsidP="00031811">
      <w:pPr>
        <w:shd w:val="clear" w:color="auto" w:fill="FFFFFF"/>
        <w:tabs>
          <w:tab w:val="left" w:pos="1080"/>
        </w:tabs>
        <w:ind w:left="720"/>
        <w:rPr>
          <w:rFonts w:ascii="Calibri" w:hAnsi="Calibri" w:cs="Arial"/>
          <w:sz w:val="22"/>
          <w:szCs w:val="22"/>
        </w:rPr>
      </w:pPr>
    </w:p>
    <w:p w14:paraId="72B967D2" w14:textId="77777777" w:rsidR="00306761" w:rsidRPr="00EB107A" w:rsidRDefault="00306761" w:rsidP="00306761">
      <w:pPr>
        <w:tabs>
          <w:tab w:val="left" w:pos="1440"/>
        </w:tabs>
        <w:ind w:left="270" w:right="90" w:firstLine="90"/>
        <w:rPr>
          <w:rFonts w:ascii="Calibri" w:hAnsi="Calibri" w:cs="Calibri"/>
          <w:i/>
          <w:iCs/>
          <w:sz w:val="22"/>
          <w:szCs w:val="22"/>
        </w:rPr>
      </w:pPr>
      <w:r w:rsidRPr="00EB107A">
        <w:rPr>
          <w:rFonts w:ascii="Calibri" w:hAnsi="Calibri" w:cs="Calibri"/>
          <w:i/>
          <w:iCs/>
          <w:sz w:val="22"/>
          <w:szCs w:val="22"/>
        </w:rPr>
        <w:t>Additional Training Requirements Specific to the CWHP</w:t>
      </w:r>
    </w:p>
    <w:p w14:paraId="4DD0E5D0" w14:textId="6A340705" w:rsidR="00306761" w:rsidRPr="00EB107A" w:rsidRDefault="00306761" w:rsidP="00306761">
      <w:pPr>
        <w:tabs>
          <w:tab w:val="left" w:pos="1440"/>
        </w:tabs>
        <w:spacing w:before="60"/>
        <w:ind w:left="720" w:right="86"/>
        <w:rPr>
          <w:rFonts w:ascii="Calibri" w:hAnsi="Calibri" w:cs="Calibri"/>
          <w:sz w:val="22"/>
          <w:szCs w:val="22"/>
        </w:rPr>
      </w:pPr>
      <w:r w:rsidRPr="00EB107A">
        <w:rPr>
          <w:rFonts w:ascii="Calibri" w:hAnsi="Calibri" w:cs="Calibri"/>
          <w:sz w:val="22"/>
          <w:szCs w:val="22"/>
        </w:rPr>
        <w:t>The following online training must be completed prior to providing services</w:t>
      </w:r>
      <w:r w:rsidR="004F239F" w:rsidRPr="00EB107A">
        <w:rPr>
          <w:rFonts w:ascii="Calibri" w:hAnsi="Calibri" w:cs="Calibri"/>
          <w:sz w:val="22"/>
          <w:szCs w:val="22"/>
        </w:rPr>
        <w:t xml:space="preserve"> in the CWHP</w:t>
      </w:r>
      <w:r w:rsidRPr="00EB107A">
        <w:rPr>
          <w:rFonts w:ascii="Calibri" w:hAnsi="Calibri" w:cs="Calibri"/>
          <w:sz w:val="22"/>
          <w:szCs w:val="22"/>
        </w:rPr>
        <w:t xml:space="preserve">, regardless of the number of training hours previously completed, and can be found at: </w:t>
      </w:r>
      <w:hyperlink r:id="rId11" w:history="1">
        <w:r w:rsidRPr="00EB107A">
          <w:rPr>
            <w:rStyle w:val="Hyperlink"/>
            <w:rFonts w:ascii="Calibri" w:hAnsi="Calibri" w:cs="Calibri"/>
            <w:sz w:val="22"/>
            <w:szCs w:val="22"/>
          </w:rPr>
          <w:t>http://www.cwhpartnership.org/ccs-orientation.html</w:t>
        </w:r>
      </w:hyperlink>
      <w:r w:rsidRPr="00EB107A">
        <w:rPr>
          <w:rFonts w:ascii="Calibri" w:hAnsi="Calibri" w:cs="Calibri"/>
          <w:sz w:val="22"/>
          <w:szCs w:val="22"/>
        </w:rPr>
        <w:t xml:space="preserve">.  The time invested in these trainings can be applied toward </w:t>
      </w:r>
      <w:r w:rsidR="006E0CE3" w:rsidRPr="00EB107A">
        <w:rPr>
          <w:rFonts w:ascii="Calibri" w:hAnsi="Calibri" w:cs="Calibri"/>
          <w:sz w:val="22"/>
          <w:szCs w:val="22"/>
        </w:rPr>
        <w:t>o</w:t>
      </w:r>
      <w:r w:rsidRPr="00EB107A">
        <w:rPr>
          <w:rFonts w:ascii="Calibri" w:hAnsi="Calibri" w:cs="Calibri"/>
          <w:sz w:val="22"/>
          <w:szCs w:val="22"/>
        </w:rPr>
        <w:t xml:space="preserve">rientation or </w:t>
      </w:r>
      <w:r w:rsidR="006E0CE3" w:rsidRPr="00EB107A">
        <w:rPr>
          <w:rFonts w:ascii="Calibri" w:hAnsi="Calibri" w:cs="Calibri"/>
          <w:sz w:val="22"/>
          <w:szCs w:val="22"/>
        </w:rPr>
        <w:t>o</w:t>
      </w:r>
      <w:r w:rsidRPr="00EB107A">
        <w:rPr>
          <w:rFonts w:ascii="Calibri" w:hAnsi="Calibri" w:cs="Calibri"/>
          <w:sz w:val="22"/>
          <w:szCs w:val="22"/>
        </w:rPr>
        <w:t xml:space="preserve">ngoing </w:t>
      </w:r>
      <w:r w:rsidR="006E0CE3" w:rsidRPr="00EB107A">
        <w:rPr>
          <w:rFonts w:ascii="Calibri" w:hAnsi="Calibri" w:cs="Calibri"/>
          <w:sz w:val="22"/>
          <w:szCs w:val="22"/>
        </w:rPr>
        <w:t>t</w:t>
      </w:r>
      <w:r w:rsidRPr="00EB107A">
        <w:rPr>
          <w:rFonts w:ascii="Calibri" w:hAnsi="Calibri" w:cs="Calibri"/>
          <w:sz w:val="22"/>
          <w:szCs w:val="22"/>
        </w:rPr>
        <w:t xml:space="preserve">raining </w:t>
      </w:r>
      <w:r w:rsidR="006E0CE3" w:rsidRPr="00EB107A">
        <w:rPr>
          <w:rFonts w:ascii="Calibri" w:hAnsi="Calibri" w:cs="Calibri"/>
          <w:sz w:val="22"/>
          <w:szCs w:val="22"/>
        </w:rPr>
        <w:t>h</w:t>
      </w:r>
      <w:r w:rsidRPr="00EB107A">
        <w:rPr>
          <w:rFonts w:ascii="Calibri" w:hAnsi="Calibri" w:cs="Calibri"/>
          <w:sz w:val="22"/>
          <w:szCs w:val="22"/>
        </w:rPr>
        <w:t>ours:</w:t>
      </w:r>
    </w:p>
    <w:p w14:paraId="620D4696" w14:textId="77777777" w:rsidR="00306761" w:rsidRPr="00EB107A" w:rsidRDefault="00306761" w:rsidP="00306761">
      <w:pPr>
        <w:pStyle w:val="ListParagraph"/>
        <w:numPr>
          <w:ilvl w:val="0"/>
          <w:numId w:val="15"/>
        </w:numPr>
        <w:tabs>
          <w:tab w:val="left" w:pos="1440"/>
        </w:tabs>
        <w:spacing w:before="60"/>
        <w:ind w:right="90"/>
        <w:contextualSpacing w:val="0"/>
        <w:rPr>
          <w:rFonts w:ascii="Calibri" w:hAnsi="Calibri" w:cs="Calibri"/>
          <w:sz w:val="22"/>
          <w:szCs w:val="22"/>
        </w:rPr>
      </w:pPr>
      <w:r w:rsidRPr="00EB107A">
        <w:rPr>
          <w:rFonts w:ascii="Calibri" w:hAnsi="Calibri" w:cs="Calibri"/>
          <w:sz w:val="22"/>
          <w:szCs w:val="22"/>
        </w:rPr>
        <w:t>Overview of CCS Essentials for Providers (20 minutes)</w:t>
      </w:r>
    </w:p>
    <w:p w14:paraId="3259C328" w14:textId="77777777" w:rsidR="00306761" w:rsidRPr="00EB107A" w:rsidRDefault="00306761" w:rsidP="00306761">
      <w:pPr>
        <w:pStyle w:val="ListParagraph"/>
        <w:numPr>
          <w:ilvl w:val="0"/>
          <w:numId w:val="15"/>
        </w:numPr>
        <w:tabs>
          <w:tab w:val="left" w:pos="1440"/>
        </w:tabs>
        <w:spacing w:before="60"/>
        <w:ind w:right="90"/>
        <w:contextualSpacing w:val="0"/>
        <w:rPr>
          <w:rFonts w:ascii="Calibri" w:hAnsi="Calibri" w:cs="Calibri"/>
          <w:sz w:val="22"/>
          <w:szCs w:val="22"/>
        </w:rPr>
      </w:pPr>
      <w:r w:rsidRPr="00EB107A">
        <w:rPr>
          <w:rFonts w:ascii="Calibri" w:hAnsi="Calibri" w:cs="Calibri"/>
          <w:sz w:val="22"/>
          <w:szCs w:val="22"/>
        </w:rPr>
        <w:t>Quality Progress Notes Using TARP (20 minutes)</w:t>
      </w:r>
    </w:p>
    <w:p w14:paraId="780CB9BA" w14:textId="27FB10A3" w:rsidR="00E17992" w:rsidRPr="00EB107A" w:rsidRDefault="00306761" w:rsidP="004956C5">
      <w:pPr>
        <w:pStyle w:val="ListParagraph"/>
        <w:numPr>
          <w:ilvl w:val="0"/>
          <w:numId w:val="15"/>
        </w:numPr>
        <w:tabs>
          <w:tab w:val="left" w:pos="1440"/>
        </w:tabs>
        <w:spacing w:before="60"/>
        <w:ind w:right="90"/>
        <w:contextualSpacing w:val="0"/>
        <w:rPr>
          <w:rFonts w:ascii="Calibri" w:hAnsi="Calibri" w:cs="Calibri"/>
          <w:sz w:val="22"/>
          <w:szCs w:val="22"/>
        </w:rPr>
      </w:pPr>
      <w:r w:rsidRPr="00EB107A">
        <w:rPr>
          <w:rFonts w:ascii="Calibri" w:hAnsi="Calibri" w:cs="Calibri"/>
          <w:sz w:val="22"/>
          <w:szCs w:val="22"/>
        </w:rPr>
        <w:t>Ethics and Boundaries in Community Behavioral Health (60 minutes)</w:t>
      </w:r>
    </w:p>
    <w:p w14:paraId="7DD8D8C3" w14:textId="77777777" w:rsidR="006E0CE3" w:rsidRPr="00EB107A" w:rsidRDefault="006E0CE3" w:rsidP="00031811">
      <w:pPr>
        <w:tabs>
          <w:tab w:val="left" w:pos="1440"/>
        </w:tabs>
        <w:ind w:right="90"/>
        <w:rPr>
          <w:rFonts w:ascii="Calibri" w:hAnsi="Calibri"/>
          <w:b/>
          <w:sz w:val="22"/>
          <w:szCs w:val="22"/>
        </w:rPr>
      </w:pPr>
    </w:p>
    <w:p w14:paraId="1B3E19F2" w14:textId="77777777" w:rsidR="00D72735" w:rsidRPr="00EB107A" w:rsidRDefault="00D72735" w:rsidP="00031811">
      <w:pPr>
        <w:tabs>
          <w:tab w:val="left" w:pos="1440"/>
        </w:tabs>
        <w:ind w:right="90"/>
        <w:rPr>
          <w:rFonts w:ascii="Calibri" w:hAnsi="Calibri"/>
          <w:b/>
          <w:sz w:val="22"/>
          <w:szCs w:val="22"/>
        </w:rPr>
      </w:pPr>
      <w:r w:rsidRPr="00EB107A">
        <w:rPr>
          <w:rFonts w:ascii="Calibri" w:hAnsi="Calibri"/>
          <w:b/>
          <w:sz w:val="22"/>
          <w:szCs w:val="22"/>
        </w:rPr>
        <w:t>Authorization of Services</w:t>
      </w:r>
    </w:p>
    <w:p w14:paraId="0C62A98A" w14:textId="77777777" w:rsidR="00817D9B" w:rsidRPr="00EB107A" w:rsidRDefault="00817D9B" w:rsidP="00B055A3">
      <w:pPr>
        <w:spacing w:before="60"/>
        <w:ind w:left="360"/>
        <w:rPr>
          <w:rFonts w:ascii="Calibri" w:hAnsi="Calibri"/>
          <w:sz w:val="22"/>
          <w:szCs w:val="22"/>
        </w:rPr>
      </w:pPr>
      <w:r w:rsidRPr="00EB107A">
        <w:rPr>
          <w:rFonts w:ascii="Calibri" w:hAnsi="Calibri"/>
          <w:sz w:val="22"/>
          <w:szCs w:val="22"/>
        </w:rPr>
        <w:t xml:space="preserve">The services provided must be individualized to each person’s needs and recovery goals as identified through a comprehensive assessment. The services must fall within the federal definition of “rehabilitative services” under 42 CFS s. 440. 130(d) </w:t>
      </w:r>
      <w:proofErr w:type="gramStart"/>
      <w:r w:rsidRPr="00EB107A">
        <w:rPr>
          <w:rFonts w:ascii="Calibri" w:hAnsi="Calibri"/>
          <w:sz w:val="22"/>
          <w:szCs w:val="22"/>
        </w:rPr>
        <w:t>in order for</w:t>
      </w:r>
      <w:proofErr w:type="gramEnd"/>
      <w:r w:rsidRPr="00EB107A">
        <w:rPr>
          <w:rFonts w:ascii="Calibri" w:hAnsi="Calibri"/>
          <w:sz w:val="22"/>
          <w:szCs w:val="22"/>
        </w:rPr>
        <w:t xml:space="preserve"> the services to be reimbursed by Medicaid.</w:t>
      </w:r>
    </w:p>
    <w:p w14:paraId="10455319" w14:textId="77777777" w:rsidR="00817D9B" w:rsidRPr="00EB107A" w:rsidRDefault="00817D9B" w:rsidP="00B055A3">
      <w:pPr>
        <w:spacing w:before="60"/>
        <w:ind w:left="360"/>
        <w:rPr>
          <w:rFonts w:ascii="Calibri" w:hAnsi="Calibri"/>
          <w:sz w:val="22"/>
          <w:szCs w:val="22"/>
        </w:rPr>
      </w:pPr>
      <w:proofErr w:type="gramStart"/>
      <w:r w:rsidRPr="00EB107A">
        <w:rPr>
          <w:rFonts w:ascii="Calibri" w:hAnsi="Calibri"/>
          <w:sz w:val="22"/>
          <w:szCs w:val="22"/>
        </w:rPr>
        <w:t>In order to</w:t>
      </w:r>
      <w:proofErr w:type="gramEnd"/>
      <w:r w:rsidRPr="00EB107A">
        <w:rPr>
          <w:rFonts w:ascii="Calibri" w:hAnsi="Calibri"/>
          <w:sz w:val="22"/>
          <w:szCs w:val="22"/>
        </w:rPr>
        <w:t xml:space="preserve"> qualify as psychosocial rehabilitation, a service must: </w:t>
      </w:r>
    </w:p>
    <w:p w14:paraId="4E91AF36" w14:textId="77777777" w:rsidR="00817D9B" w:rsidRPr="00EB107A" w:rsidRDefault="00817D9B" w:rsidP="00817D9B">
      <w:pPr>
        <w:pStyle w:val="ListParagraph"/>
        <w:numPr>
          <w:ilvl w:val="0"/>
          <w:numId w:val="6"/>
        </w:numPr>
        <w:spacing w:before="60"/>
        <w:contextualSpacing w:val="0"/>
        <w:rPr>
          <w:rFonts w:ascii="Calibri" w:hAnsi="Calibri"/>
          <w:sz w:val="22"/>
          <w:szCs w:val="22"/>
        </w:rPr>
      </w:pPr>
      <w:r w:rsidRPr="00EB107A">
        <w:rPr>
          <w:rFonts w:ascii="Calibri" w:hAnsi="Calibri"/>
          <w:sz w:val="22"/>
          <w:szCs w:val="22"/>
        </w:rPr>
        <w:t>Have been determined through the assessment process to be needed by an individual consumer</w:t>
      </w:r>
    </w:p>
    <w:p w14:paraId="45FB8F3F" w14:textId="38F87ED1" w:rsidR="00817D9B" w:rsidRPr="00EB107A" w:rsidRDefault="00817D9B" w:rsidP="00817D9B">
      <w:pPr>
        <w:pStyle w:val="ListParagraph"/>
        <w:numPr>
          <w:ilvl w:val="0"/>
          <w:numId w:val="6"/>
        </w:numPr>
        <w:spacing w:before="60"/>
        <w:contextualSpacing w:val="0"/>
        <w:rPr>
          <w:rFonts w:ascii="Calibri" w:hAnsi="Calibri"/>
          <w:sz w:val="22"/>
          <w:szCs w:val="22"/>
        </w:rPr>
      </w:pPr>
      <w:r w:rsidRPr="00EB107A">
        <w:rPr>
          <w:rFonts w:ascii="Calibri" w:hAnsi="Calibri"/>
          <w:sz w:val="22"/>
          <w:szCs w:val="22"/>
        </w:rPr>
        <w:t xml:space="preserve">Involve </w:t>
      </w:r>
      <w:r w:rsidR="0051103A" w:rsidRPr="00EB107A">
        <w:rPr>
          <w:rFonts w:ascii="Calibri" w:hAnsi="Calibri"/>
          <w:sz w:val="22"/>
          <w:szCs w:val="22"/>
        </w:rPr>
        <w:t xml:space="preserve">provision of a </w:t>
      </w:r>
      <w:r w:rsidRPr="00EB107A">
        <w:rPr>
          <w:rFonts w:ascii="Calibri" w:hAnsi="Calibri"/>
          <w:sz w:val="22"/>
          <w:szCs w:val="22"/>
        </w:rPr>
        <w:t>direct</w:t>
      </w:r>
      <w:r w:rsidR="00607B29" w:rsidRPr="00EB107A">
        <w:rPr>
          <w:rFonts w:ascii="Calibri" w:hAnsi="Calibri"/>
          <w:sz w:val="22"/>
          <w:szCs w:val="22"/>
        </w:rPr>
        <w:t>,</w:t>
      </w:r>
      <w:r w:rsidRPr="00EB107A">
        <w:rPr>
          <w:rFonts w:ascii="Calibri" w:hAnsi="Calibri"/>
          <w:sz w:val="22"/>
          <w:szCs w:val="22"/>
        </w:rPr>
        <w:t xml:space="preserve"> </w:t>
      </w:r>
      <w:r w:rsidR="00911B42" w:rsidRPr="00EB107A">
        <w:rPr>
          <w:rFonts w:ascii="Calibri" w:hAnsi="Calibri"/>
          <w:sz w:val="22"/>
          <w:szCs w:val="22"/>
        </w:rPr>
        <w:t xml:space="preserve">authorized, and </w:t>
      </w:r>
      <w:r w:rsidR="001649AD" w:rsidRPr="00EB107A">
        <w:rPr>
          <w:rFonts w:ascii="Calibri" w:hAnsi="Calibri"/>
          <w:sz w:val="22"/>
          <w:szCs w:val="22"/>
        </w:rPr>
        <w:t>in-person</w:t>
      </w:r>
      <w:r w:rsidR="00607B29" w:rsidRPr="00EB107A">
        <w:rPr>
          <w:rFonts w:ascii="Calibri" w:hAnsi="Calibri"/>
          <w:sz w:val="22"/>
          <w:szCs w:val="22"/>
        </w:rPr>
        <w:t xml:space="preserve"> </w:t>
      </w:r>
      <w:r w:rsidRPr="00EB107A">
        <w:rPr>
          <w:rFonts w:ascii="Calibri" w:hAnsi="Calibri"/>
          <w:sz w:val="22"/>
          <w:szCs w:val="22"/>
        </w:rPr>
        <w:t>service to the identified consumer</w:t>
      </w:r>
    </w:p>
    <w:p w14:paraId="5EB33B8D" w14:textId="77777777" w:rsidR="00817D9B" w:rsidRPr="00EB107A" w:rsidRDefault="00817D9B" w:rsidP="00817D9B">
      <w:pPr>
        <w:pStyle w:val="ListParagraph"/>
        <w:numPr>
          <w:ilvl w:val="0"/>
          <w:numId w:val="6"/>
        </w:numPr>
        <w:spacing w:before="60"/>
        <w:contextualSpacing w:val="0"/>
        <w:rPr>
          <w:rFonts w:ascii="Calibri" w:hAnsi="Calibri"/>
          <w:sz w:val="22"/>
          <w:szCs w:val="22"/>
        </w:rPr>
      </w:pPr>
      <w:r w:rsidRPr="00EB107A">
        <w:rPr>
          <w:rFonts w:ascii="Calibri" w:hAnsi="Calibri"/>
          <w:sz w:val="22"/>
          <w:szCs w:val="22"/>
        </w:rPr>
        <w:t>Address the consumer’s mental health and substance use disorders to maximize functioning and minimize symptoms</w:t>
      </w:r>
    </w:p>
    <w:p w14:paraId="1D007DFF" w14:textId="77777777" w:rsidR="00817D9B" w:rsidRPr="00EB107A" w:rsidRDefault="00817D9B" w:rsidP="00817D9B">
      <w:pPr>
        <w:pStyle w:val="ListParagraph"/>
        <w:numPr>
          <w:ilvl w:val="0"/>
          <w:numId w:val="6"/>
        </w:numPr>
        <w:spacing w:before="60"/>
        <w:contextualSpacing w:val="0"/>
        <w:rPr>
          <w:rFonts w:ascii="Calibri" w:hAnsi="Calibri"/>
          <w:sz w:val="22"/>
          <w:szCs w:val="22"/>
        </w:rPr>
      </w:pPr>
      <w:r w:rsidRPr="00EB107A">
        <w:rPr>
          <w:rFonts w:ascii="Calibri" w:hAnsi="Calibri"/>
          <w:sz w:val="22"/>
          <w:szCs w:val="22"/>
        </w:rPr>
        <w:lastRenderedPageBreak/>
        <w:t>Be consistent with the individual consumer’s diagnosis and symptoms</w:t>
      </w:r>
    </w:p>
    <w:p w14:paraId="36EE5716" w14:textId="77777777" w:rsidR="00817D9B" w:rsidRPr="00EB107A" w:rsidRDefault="00817D9B" w:rsidP="00817D9B">
      <w:pPr>
        <w:pStyle w:val="ListParagraph"/>
        <w:numPr>
          <w:ilvl w:val="0"/>
          <w:numId w:val="6"/>
        </w:numPr>
        <w:spacing w:before="60"/>
        <w:contextualSpacing w:val="0"/>
        <w:rPr>
          <w:rFonts w:ascii="Calibri" w:hAnsi="Calibri"/>
          <w:sz w:val="22"/>
          <w:szCs w:val="22"/>
        </w:rPr>
      </w:pPr>
      <w:r w:rsidRPr="00EB107A">
        <w:rPr>
          <w:rFonts w:ascii="Calibri" w:hAnsi="Calibri"/>
          <w:sz w:val="22"/>
          <w:szCs w:val="22"/>
        </w:rPr>
        <w:t>Safely and effectively match the individual’s need for support and motivational level</w:t>
      </w:r>
    </w:p>
    <w:p w14:paraId="708FAA5A" w14:textId="77777777" w:rsidR="00817D9B" w:rsidRPr="00EB107A" w:rsidRDefault="00817D9B" w:rsidP="00817D9B">
      <w:pPr>
        <w:pStyle w:val="ListParagraph"/>
        <w:numPr>
          <w:ilvl w:val="0"/>
          <w:numId w:val="6"/>
        </w:numPr>
        <w:spacing w:before="60"/>
        <w:contextualSpacing w:val="0"/>
        <w:rPr>
          <w:rFonts w:ascii="Calibri" w:hAnsi="Calibri"/>
          <w:sz w:val="22"/>
          <w:szCs w:val="22"/>
        </w:rPr>
      </w:pPr>
      <w:r w:rsidRPr="00EB107A">
        <w:rPr>
          <w:rFonts w:ascii="Calibri" w:hAnsi="Calibri"/>
          <w:sz w:val="22"/>
          <w:szCs w:val="22"/>
        </w:rPr>
        <w:t>Be provided in the least restrictive most natural setting to be effective for the consumer</w:t>
      </w:r>
    </w:p>
    <w:p w14:paraId="528723D9" w14:textId="77777777" w:rsidR="00817D9B" w:rsidRPr="00EB107A" w:rsidRDefault="00817D9B" w:rsidP="00817D9B">
      <w:pPr>
        <w:pStyle w:val="ListParagraph"/>
        <w:numPr>
          <w:ilvl w:val="0"/>
          <w:numId w:val="6"/>
        </w:numPr>
        <w:spacing w:before="60"/>
        <w:contextualSpacing w:val="0"/>
        <w:rPr>
          <w:rFonts w:ascii="Calibri" w:hAnsi="Calibri"/>
          <w:sz w:val="22"/>
          <w:szCs w:val="22"/>
        </w:rPr>
      </w:pPr>
      <w:r w:rsidRPr="00EB107A">
        <w:rPr>
          <w:rFonts w:ascii="Calibri" w:hAnsi="Calibri"/>
          <w:sz w:val="22"/>
          <w:szCs w:val="22"/>
        </w:rPr>
        <w:t>Not be solely for the convenience of the individual consumer, family, or provider</w:t>
      </w:r>
    </w:p>
    <w:p w14:paraId="25771E11" w14:textId="77777777" w:rsidR="00817D9B" w:rsidRPr="00EB107A" w:rsidRDefault="00817D9B" w:rsidP="00817D9B">
      <w:pPr>
        <w:pStyle w:val="ListParagraph"/>
        <w:numPr>
          <w:ilvl w:val="0"/>
          <w:numId w:val="6"/>
        </w:numPr>
        <w:spacing w:before="60"/>
        <w:contextualSpacing w:val="0"/>
        <w:rPr>
          <w:rFonts w:ascii="Calibri" w:hAnsi="Calibri"/>
          <w:sz w:val="22"/>
          <w:szCs w:val="22"/>
        </w:rPr>
      </w:pPr>
      <w:r w:rsidRPr="00EB107A">
        <w:rPr>
          <w:rFonts w:ascii="Calibri" w:hAnsi="Calibri"/>
          <w:sz w:val="22"/>
          <w:szCs w:val="22"/>
        </w:rPr>
        <w:t>Be of proven values and usefulness</w:t>
      </w:r>
    </w:p>
    <w:p w14:paraId="65C92AAB" w14:textId="77777777" w:rsidR="00817D9B" w:rsidRPr="00EB107A" w:rsidRDefault="00817D9B" w:rsidP="00817D9B">
      <w:pPr>
        <w:pStyle w:val="ListParagraph"/>
        <w:numPr>
          <w:ilvl w:val="0"/>
          <w:numId w:val="6"/>
        </w:numPr>
        <w:spacing w:before="60"/>
        <w:contextualSpacing w:val="0"/>
        <w:rPr>
          <w:rFonts w:ascii="Calibri" w:hAnsi="Calibri"/>
          <w:sz w:val="22"/>
          <w:szCs w:val="22"/>
        </w:rPr>
      </w:pPr>
      <w:r w:rsidRPr="00EB107A">
        <w:rPr>
          <w:rFonts w:ascii="Calibri" w:hAnsi="Calibri"/>
          <w:sz w:val="22"/>
          <w:szCs w:val="22"/>
        </w:rPr>
        <w:t xml:space="preserve">Be the most economic option consistent with the consumer’s needs </w:t>
      </w:r>
    </w:p>
    <w:p w14:paraId="387618AE" w14:textId="07A4DE80" w:rsidR="00D72735" w:rsidRPr="00EB107A" w:rsidRDefault="00D72735" w:rsidP="00885A6D">
      <w:pPr>
        <w:tabs>
          <w:tab w:val="left" w:pos="1440"/>
        </w:tabs>
        <w:spacing w:before="120"/>
        <w:ind w:left="360" w:right="86"/>
        <w:rPr>
          <w:rFonts w:ascii="Calibri" w:hAnsi="Calibri"/>
          <w:sz w:val="22"/>
          <w:szCs w:val="22"/>
        </w:rPr>
      </w:pPr>
      <w:r w:rsidRPr="00EB107A">
        <w:rPr>
          <w:rFonts w:ascii="Calibri" w:hAnsi="Calibri"/>
          <w:sz w:val="22"/>
          <w:szCs w:val="22"/>
        </w:rPr>
        <w:t xml:space="preserve">Services </w:t>
      </w:r>
      <w:r w:rsidR="00F431D5" w:rsidRPr="00EB107A">
        <w:rPr>
          <w:rFonts w:ascii="Calibri" w:hAnsi="Calibri"/>
          <w:sz w:val="22"/>
          <w:szCs w:val="22"/>
        </w:rPr>
        <w:t xml:space="preserve">and supportive activities </w:t>
      </w:r>
      <w:r w:rsidRPr="00EB107A">
        <w:rPr>
          <w:rFonts w:ascii="Calibri" w:hAnsi="Calibri"/>
          <w:sz w:val="22"/>
          <w:szCs w:val="22"/>
        </w:rPr>
        <w:t xml:space="preserve">are selected based on the needs, goals, and preferences of the consumer identified in </w:t>
      </w:r>
      <w:r w:rsidR="00E93512" w:rsidRPr="00EB107A">
        <w:rPr>
          <w:rFonts w:ascii="Calibri" w:hAnsi="Calibri"/>
          <w:sz w:val="22"/>
          <w:szCs w:val="22"/>
        </w:rPr>
        <w:t xml:space="preserve">during the assessment process. </w:t>
      </w:r>
      <w:r w:rsidRPr="00EB107A">
        <w:rPr>
          <w:rFonts w:ascii="Calibri" w:hAnsi="Calibri"/>
          <w:sz w:val="22"/>
          <w:szCs w:val="22"/>
        </w:rPr>
        <w:t>S</w:t>
      </w:r>
      <w:r w:rsidR="00031811" w:rsidRPr="00EB107A">
        <w:rPr>
          <w:rFonts w:ascii="Calibri" w:hAnsi="Calibri"/>
          <w:sz w:val="22"/>
          <w:szCs w:val="22"/>
        </w:rPr>
        <w:t xml:space="preserve">ervices </w:t>
      </w:r>
      <w:r w:rsidR="004956C5" w:rsidRPr="00EB107A">
        <w:rPr>
          <w:rFonts w:ascii="Calibri" w:hAnsi="Calibri"/>
          <w:sz w:val="22"/>
          <w:szCs w:val="22"/>
        </w:rPr>
        <w:t xml:space="preserve">and supports </w:t>
      </w:r>
      <w:r w:rsidR="00031811" w:rsidRPr="00EB107A">
        <w:rPr>
          <w:rFonts w:ascii="Calibri" w:hAnsi="Calibri"/>
          <w:sz w:val="22"/>
          <w:szCs w:val="22"/>
        </w:rPr>
        <w:t xml:space="preserve">must </w:t>
      </w:r>
      <w:r w:rsidR="00613BA8" w:rsidRPr="00EB107A">
        <w:rPr>
          <w:rFonts w:ascii="Calibri" w:hAnsi="Calibri"/>
          <w:sz w:val="22"/>
          <w:szCs w:val="22"/>
        </w:rPr>
        <w:t>be</w:t>
      </w:r>
      <w:r w:rsidR="00E93512" w:rsidRPr="00EB107A">
        <w:rPr>
          <w:rFonts w:ascii="Calibri" w:hAnsi="Calibri"/>
          <w:sz w:val="22"/>
          <w:szCs w:val="22"/>
        </w:rPr>
        <w:t xml:space="preserve"> determined to be medically necessary and </w:t>
      </w:r>
      <w:r w:rsidR="00031811" w:rsidRPr="00EB107A">
        <w:rPr>
          <w:rFonts w:ascii="Calibri" w:hAnsi="Calibri"/>
          <w:sz w:val="22"/>
          <w:szCs w:val="22"/>
        </w:rPr>
        <w:t xml:space="preserve">authorized by </w:t>
      </w:r>
      <w:r w:rsidR="00E93512" w:rsidRPr="00EB107A">
        <w:rPr>
          <w:rFonts w:ascii="Calibri" w:hAnsi="Calibri"/>
          <w:sz w:val="22"/>
          <w:szCs w:val="22"/>
        </w:rPr>
        <w:t>the county’s</w:t>
      </w:r>
      <w:r w:rsidR="00031811" w:rsidRPr="00EB107A">
        <w:rPr>
          <w:rFonts w:ascii="Calibri" w:hAnsi="Calibri"/>
          <w:sz w:val="22"/>
          <w:szCs w:val="22"/>
        </w:rPr>
        <w:t xml:space="preserve"> </w:t>
      </w:r>
      <w:r w:rsidRPr="00EB107A">
        <w:rPr>
          <w:rFonts w:ascii="Calibri" w:hAnsi="Calibri"/>
          <w:sz w:val="22"/>
          <w:szCs w:val="22"/>
        </w:rPr>
        <w:t xml:space="preserve">Mental Health Professional and/or Substance Abuse Professional </w:t>
      </w:r>
      <w:r w:rsidR="00977132" w:rsidRPr="00EB107A">
        <w:rPr>
          <w:rFonts w:ascii="Calibri" w:hAnsi="Calibri"/>
          <w:sz w:val="22"/>
          <w:szCs w:val="22"/>
        </w:rPr>
        <w:t xml:space="preserve">as defined in DHS 36.  </w:t>
      </w:r>
    </w:p>
    <w:p w14:paraId="259D94CB" w14:textId="4C1C83B3" w:rsidR="00D72735" w:rsidRPr="00EB107A" w:rsidRDefault="00973E4B" w:rsidP="00885A6D">
      <w:pPr>
        <w:tabs>
          <w:tab w:val="left" w:pos="1440"/>
        </w:tabs>
        <w:spacing w:before="120"/>
        <w:ind w:left="360" w:right="86"/>
        <w:rPr>
          <w:rFonts w:ascii="Calibri" w:hAnsi="Calibri"/>
          <w:sz w:val="22"/>
          <w:szCs w:val="22"/>
        </w:rPr>
      </w:pPr>
      <w:r w:rsidRPr="00EB107A">
        <w:rPr>
          <w:rFonts w:ascii="Calibri" w:hAnsi="Calibri"/>
          <w:sz w:val="22"/>
          <w:szCs w:val="22"/>
        </w:rPr>
        <w:t xml:space="preserve">Services to be provided will be detailed in the consumer’s </w:t>
      </w:r>
      <w:r w:rsidR="008A2E8A" w:rsidRPr="00EB107A">
        <w:rPr>
          <w:rFonts w:ascii="Calibri" w:hAnsi="Calibri"/>
          <w:sz w:val="22"/>
          <w:szCs w:val="22"/>
        </w:rPr>
        <w:t>r</w:t>
      </w:r>
      <w:r w:rsidRPr="00EB107A">
        <w:rPr>
          <w:rFonts w:ascii="Calibri" w:hAnsi="Calibri"/>
          <w:sz w:val="22"/>
          <w:szCs w:val="22"/>
        </w:rPr>
        <w:t xml:space="preserve">ecovery </w:t>
      </w:r>
      <w:r w:rsidR="008A2E8A" w:rsidRPr="00EB107A">
        <w:rPr>
          <w:rFonts w:ascii="Calibri" w:hAnsi="Calibri"/>
          <w:sz w:val="22"/>
          <w:szCs w:val="22"/>
        </w:rPr>
        <w:t>p</w:t>
      </w:r>
      <w:r w:rsidRPr="00EB107A">
        <w:rPr>
          <w:rFonts w:ascii="Calibri" w:hAnsi="Calibri"/>
          <w:sz w:val="22"/>
          <w:szCs w:val="22"/>
        </w:rPr>
        <w:t>lan</w:t>
      </w:r>
      <w:r w:rsidR="009D1477" w:rsidRPr="00EB107A">
        <w:rPr>
          <w:rFonts w:ascii="Calibri" w:hAnsi="Calibri"/>
          <w:sz w:val="22"/>
          <w:szCs w:val="22"/>
        </w:rPr>
        <w:t xml:space="preserve">. </w:t>
      </w:r>
      <w:r w:rsidRPr="00EB107A">
        <w:rPr>
          <w:rFonts w:ascii="Calibri" w:hAnsi="Calibri"/>
          <w:sz w:val="22"/>
          <w:szCs w:val="22"/>
        </w:rPr>
        <w:t xml:space="preserve"> </w:t>
      </w:r>
      <w:r w:rsidR="00D72735" w:rsidRPr="00EB107A">
        <w:rPr>
          <w:rFonts w:ascii="Calibri" w:hAnsi="Calibri"/>
          <w:sz w:val="22"/>
          <w:szCs w:val="22"/>
        </w:rPr>
        <w:t xml:space="preserve">Service providers must obtain an authorization prior to providing any services. Service </w:t>
      </w:r>
      <w:r w:rsidR="00031811" w:rsidRPr="00EB107A">
        <w:rPr>
          <w:rFonts w:ascii="Calibri" w:hAnsi="Calibri"/>
          <w:sz w:val="22"/>
          <w:szCs w:val="22"/>
        </w:rPr>
        <w:t>p</w:t>
      </w:r>
      <w:r w:rsidR="00D72735" w:rsidRPr="00EB107A">
        <w:rPr>
          <w:rFonts w:ascii="Calibri" w:hAnsi="Calibri"/>
          <w:sz w:val="22"/>
          <w:szCs w:val="22"/>
        </w:rPr>
        <w:t xml:space="preserve">roviders may contact the Service Facilitator to verify whether a service has been authorized. </w:t>
      </w:r>
      <w:r w:rsidR="00031811" w:rsidRPr="00EB107A">
        <w:rPr>
          <w:rFonts w:ascii="Calibri" w:hAnsi="Calibri"/>
          <w:sz w:val="22"/>
          <w:szCs w:val="22"/>
        </w:rPr>
        <w:t xml:space="preserve"> </w:t>
      </w:r>
      <w:r w:rsidR="00D72735" w:rsidRPr="00EB107A">
        <w:rPr>
          <w:rFonts w:ascii="Calibri" w:hAnsi="Calibri"/>
          <w:sz w:val="22"/>
          <w:szCs w:val="22"/>
        </w:rPr>
        <w:t>Services provided without authorization will not be paid.</w:t>
      </w:r>
    </w:p>
    <w:p w14:paraId="788BC988" w14:textId="3997E003" w:rsidR="000B5613" w:rsidRPr="00EB107A" w:rsidRDefault="008A2E8A" w:rsidP="000B5613">
      <w:pPr>
        <w:tabs>
          <w:tab w:val="left" w:pos="1440"/>
        </w:tabs>
        <w:spacing w:before="120"/>
        <w:ind w:left="360" w:right="86"/>
        <w:rPr>
          <w:rFonts w:ascii="Calibri" w:hAnsi="Calibri"/>
          <w:sz w:val="22"/>
          <w:szCs w:val="22"/>
        </w:rPr>
      </w:pPr>
      <w:r w:rsidRPr="00EB107A">
        <w:rPr>
          <w:rFonts w:ascii="Calibri" w:hAnsi="Calibri"/>
          <w:sz w:val="22"/>
          <w:szCs w:val="22"/>
        </w:rPr>
        <w:t xml:space="preserve">Services may only be provided in the frequency and intensity detailed in the consumer’s recovery plan.  </w:t>
      </w:r>
      <w:r w:rsidR="00D72735" w:rsidRPr="00EB107A">
        <w:rPr>
          <w:rFonts w:ascii="Calibri" w:hAnsi="Calibri"/>
          <w:sz w:val="22"/>
          <w:szCs w:val="22"/>
        </w:rPr>
        <w:t xml:space="preserve">Services not provided during the </w:t>
      </w:r>
      <w:proofErr w:type="gramStart"/>
      <w:r w:rsidR="00D72735" w:rsidRPr="00EB107A">
        <w:rPr>
          <w:rFonts w:ascii="Calibri" w:hAnsi="Calibri"/>
          <w:sz w:val="22"/>
          <w:szCs w:val="22"/>
        </w:rPr>
        <w:t>time period</w:t>
      </w:r>
      <w:proofErr w:type="gramEnd"/>
      <w:r w:rsidR="00D72735" w:rsidRPr="00EB107A">
        <w:rPr>
          <w:rFonts w:ascii="Calibri" w:hAnsi="Calibri"/>
          <w:sz w:val="22"/>
          <w:szCs w:val="22"/>
        </w:rPr>
        <w:t xml:space="preserve"> in which they were authorized may not be carried over to the next authorization time period. Services would need to be re-authorized for the new </w:t>
      </w:r>
      <w:proofErr w:type="gramStart"/>
      <w:r w:rsidR="00D72735" w:rsidRPr="00EB107A">
        <w:rPr>
          <w:rFonts w:ascii="Calibri" w:hAnsi="Calibri"/>
          <w:sz w:val="22"/>
          <w:szCs w:val="22"/>
        </w:rPr>
        <w:t>time period</w:t>
      </w:r>
      <w:proofErr w:type="gramEnd"/>
      <w:r w:rsidR="00D72735" w:rsidRPr="00EB107A">
        <w:rPr>
          <w:rFonts w:ascii="Calibri" w:hAnsi="Calibri"/>
          <w:sz w:val="22"/>
          <w:szCs w:val="22"/>
        </w:rPr>
        <w:t xml:space="preserve"> of service.</w:t>
      </w:r>
    </w:p>
    <w:p w14:paraId="1279B0C1" w14:textId="5AFBCBFB" w:rsidR="00113EC1" w:rsidRPr="00EB107A" w:rsidRDefault="00113EC1" w:rsidP="000B5613">
      <w:pPr>
        <w:tabs>
          <w:tab w:val="left" w:pos="1440"/>
        </w:tabs>
        <w:spacing w:before="120"/>
        <w:ind w:left="360" w:right="86"/>
        <w:rPr>
          <w:rFonts w:ascii="Calibri" w:hAnsi="Calibri"/>
          <w:sz w:val="22"/>
          <w:szCs w:val="22"/>
        </w:rPr>
      </w:pPr>
      <w:r w:rsidRPr="00EB107A">
        <w:rPr>
          <w:rFonts w:ascii="Calibri" w:hAnsi="Calibri"/>
          <w:sz w:val="22"/>
          <w:szCs w:val="22"/>
        </w:rPr>
        <w:t xml:space="preserve">It is understood that the final authority for determining client eligibility for service and the </w:t>
      </w:r>
      <w:proofErr w:type="gramStart"/>
      <w:r w:rsidRPr="00EB107A">
        <w:rPr>
          <w:rFonts w:ascii="Calibri" w:hAnsi="Calibri"/>
          <w:sz w:val="22"/>
          <w:szCs w:val="22"/>
        </w:rPr>
        <w:t>amount</w:t>
      </w:r>
      <w:proofErr w:type="gramEnd"/>
      <w:r w:rsidRPr="00EB107A">
        <w:rPr>
          <w:rFonts w:ascii="Calibri" w:hAnsi="Calibri"/>
          <w:sz w:val="22"/>
          <w:szCs w:val="22"/>
        </w:rPr>
        <w:t xml:space="preserve"> of services to be provided to individual clients rest with Purchaser and that Provider will not be reimbursed for unauthorized services provided to clients or provided in amounts that exceed those authorized for individual clients.  </w:t>
      </w:r>
      <w:r w:rsidR="00AF5166" w:rsidRPr="00EB107A">
        <w:rPr>
          <w:rFonts w:ascii="Calibri" w:hAnsi="Calibri"/>
          <w:sz w:val="22"/>
          <w:szCs w:val="22"/>
        </w:rPr>
        <w:t>Provider will only be reimbursed for approved direct client contacts and documentation of such contacts.  No collateral contacted will be reimbursed by Purchaser on an interim basis</w:t>
      </w:r>
      <w:r w:rsidR="00EE7E4B" w:rsidRPr="00EB107A">
        <w:rPr>
          <w:rFonts w:ascii="Calibri" w:hAnsi="Calibri"/>
          <w:sz w:val="22"/>
          <w:szCs w:val="22"/>
        </w:rPr>
        <w:t>; the costs of these contacts should be built into Provider</w:t>
      </w:r>
      <w:r w:rsidR="000E6B1C" w:rsidRPr="00EB107A">
        <w:rPr>
          <w:rFonts w:ascii="Calibri" w:hAnsi="Calibri"/>
          <w:sz w:val="22"/>
          <w:szCs w:val="22"/>
        </w:rPr>
        <w:t>’s</w:t>
      </w:r>
      <w:r w:rsidR="00EE7E4B" w:rsidRPr="00EB107A">
        <w:rPr>
          <w:rFonts w:ascii="Calibri" w:hAnsi="Calibri"/>
          <w:sz w:val="22"/>
          <w:szCs w:val="22"/>
        </w:rPr>
        <w:t xml:space="preserve"> rates.</w:t>
      </w:r>
    </w:p>
    <w:p w14:paraId="0ABA9571" w14:textId="412340FB" w:rsidR="00DF5E10" w:rsidRPr="00EB107A" w:rsidRDefault="00276D40" w:rsidP="000B5613">
      <w:pPr>
        <w:tabs>
          <w:tab w:val="left" w:pos="1440"/>
        </w:tabs>
        <w:spacing w:before="120"/>
        <w:ind w:left="360" w:right="86"/>
        <w:rPr>
          <w:rFonts w:ascii="Calibri" w:hAnsi="Calibri"/>
          <w:sz w:val="22"/>
          <w:szCs w:val="22"/>
        </w:rPr>
      </w:pPr>
      <w:r w:rsidRPr="00EB107A">
        <w:rPr>
          <w:rFonts w:ascii="Calibri" w:hAnsi="Calibri"/>
          <w:sz w:val="22"/>
          <w:szCs w:val="22"/>
        </w:rPr>
        <w:t xml:space="preserve">The </w:t>
      </w:r>
      <w:r w:rsidR="00F80D3F" w:rsidRPr="00EB107A">
        <w:rPr>
          <w:rFonts w:ascii="Calibri" w:hAnsi="Calibri"/>
          <w:sz w:val="22"/>
          <w:szCs w:val="22"/>
        </w:rPr>
        <w:t>Purchaser</w:t>
      </w:r>
      <w:r w:rsidR="00DF5E10" w:rsidRPr="00EB107A">
        <w:rPr>
          <w:rFonts w:ascii="Calibri" w:hAnsi="Calibri"/>
          <w:sz w:val="22"/>
          <w:szCs w:val="22"/>
        </w:rPr>
        <w:t xml:space="preserve"> reserves the right to withdraw any client from the program, service, institution or facility of the </w:t>
      </w:r>
      <w:r w:rsidR="00F80D3F" w:rsidRPr="00EB107A">
        <w:rPr>
          <w:rFonts w:ascii="Calibri" w:hAnsi="Calibri"/>
          <w:sz w:val="22"/>
          <w:szCs w:val="22"/>
        </w:rPr>
        <w:t>P</w:t>
      </w:r>
      <w:r w:rsidR="00DF5E10" w:rsidRPr="00EB107A">
        <w:rPr>
          <w:rFonts w:ascii="Calibri" w:hAnsi="Calibri"/>
          <w:sz w:val="22"/>
          <w:szCs w:val="22"/>
        </w:rPr>
        <w:t xml:space="preserve">rovider at any time when in the judgment of </w:t>
      </w:r>
      <w:proofErr w:type="gramStart"/>
      <w:r w:rsidR="00DF5E10" w:rsidRPr="00EB107A">
        <w:rPr>
          <w:rFonts w:ascii="Calibri" w:hAnsi="Calibri"/>
          <w:sz w:val="22"/>
          <w:szCs w:val="22"/>
        </w:rPr>
        <w:t>Purchaser</w:t>
      </w:r>
      <w:proofErr w:type="gramEnd"/>
      <w:r w:rsidR="00DF5E10" w:rsidRPr="00EB107A">
        <w:rPr>
          <w:rFonts w:ascii="Calibri" w:hAnsi="Calibri"/>
          <w:sz w:val="22"/>
          <w:szCs w:val="22"/>
        </w:rPr>
        <w:t xml:space="preserve"> it is in the best interest of Purchaser or the client to do so.</w:t>
      </w:r>
    </w:p>
    <w:p w14:paraId="3079295B" w14:textId="77777777" w:rsidR="000B5613" w:rsidRPr="00EB107A" w:rsidRDefault="000B5613" w:rsidP="000B5613">
      <w:pPr>
        <w:tabs>
          <w:tab w:val="left" w:pos="1440"/>
        </w:tabs>
        <w:ind w:right="90"/>
        <w:rPr>
          <w:rFonts w:ascii="Calibri" w:hAnsi="Calibri"/>
          <w:sz w:val="22"/>
          <w:szCs w:val="22"/>
        </w:rPr>
      </w:pPr>
    </w:p>
    <w:p w14:paraId="153AA0DB" w14:textId="5BAA25A3" w:rsidR="00D72735" w:rsidRPr="00EB107A" w:rsidRDefault="00D72735" w:rsidP="00031811">
      <w:pPr>
        <w:tabs>
          <w:tab w:val="left" w:pos="1440"/>
        </w:tabs>
        <w:ind w:right="90"/>
        <w:rPr>
          <w:rFonts w:ascii="Calibri" w:hAnsi="Calibri"/>
          <w:b/>
          <w:sz w:val="22"/>
          <w:szCs w:val="22"/>
        </w:rPr>
      </w:pPr>
      <w:r w:rsidRPr="00EB107A">
        <w:rPr>
          <w:rFonts w:ascii="Calibri" w:hAnsi="Calibri"/>
          <w:b/>
          <w:sz w:val="22"/>
          <w:szCs w:val="22"/>
        </w:rPr>
        <w:t>Billin</w:t>
      </w:r>
      <w:r w:rsidR="000B5613" w:rsidRPr="00EB107A">
        <w:rPr>
          <w:rFonts w:ascii="Calibri" w:hAnsi="Calibri"/>
          <w:b/>
          <w:sz w:val="22"/>
          <w:szCs w:val="22"/>
        </w:rPr>
        <w:t xml:space="preserve">g and </w:t>
      </w:r>
      <w:r w:rsidRPr="00EB107A">
        <w:rPr>
          <w:rFonts w:ascii="Calibri" w:hAnsi="Calibri"/>
          <w:b/>
          <w:sz w:val="22"/>
          <w:szCs w:val="22"/>
        </w:rPr>
        <w:t>Documentation</w:t>
      </w:r>
    </w:p>
    <w:p w14:paraId="4B164E60" w14:textId="09F698AA" w:rsidR="0058214A" w:rsidRPr="00EB107A" w:rsidRDefault="0058214A" w:rsidP="007F1133">
      <w:pPr>
        <w:spacing w:before="80"/>
        <w:ind w:left="360" w:right="86"/>
        <w:rPr>
          <w:rFonts w:ascii="Calibri" w:eastAsia="Calibri" w:hAnsi="Calibri" w:cs="Calibri"/>
          <w:b/>
          <w:bCs/>
          <w:i/>
          <w:iCs/>
          <w:sz w:val="22"/>
          <w:szCs w:val="22"/>
        </w:rPr>
      </w:pPr>
      <w:r w:rsidRPr="00EB107A">
        <w:rPr>
          <w:rFonts w:ascii="Calibri" w:eastAsia="Calibri" w:hAnsi="Calibri" w:cs="Calibri"/>
          <w:b/>
          <w:bCs/>
          <w:i/>
          <w:iCs/>
          <w:sz w:val="22"/>
          <w:szCs w:val="22"/>
        </w:rPr>
        <w:t>Activities that can be direct</w:t>
      </w:r>
      <w:r w:rsidR="00551F7F" w:rsidRPr="00EB107A">
        <w:rPr>
          <w:rFonts w:ascii="Calibri" w:eastAsia="Calibri" w:hAnsi="Calibri" w:cs="Calibri"/>
          <w:b/>
          <w:bCs/>
          <w:i/>
          <w:iCs/>
          <w:sz w:val="22"/>
          <w:szCs w:val="22"/>
        </w:rPr>
        <w:t>ly</w:t>
      </w:r>
      <w:r w:rsidRPr="00EB107A">
        <w:rPr>
          <w:rFonts w:ascii="Calibri" w:eastAsia="Calibri" w:hAnsi="Calibri" w:cs="Calibri"/>
          <w:b/>
          <w:bCs/>
          <w:i/>
          <w:iCs/>
          <w:sz w:val="22"/>
          <w:szCs w:val="22"/>
        </w:rPr>
        <w:t xml:space="preserve"> billed to </w:t>
      </w:r>
      <w:r w:rsidR="00551F7F" w:rsidRPr="00EB107A">
        <w:rPr>
          <w:rFonts w:ascii="Calibri" w:eastAsia="Calibri" w:hAnsi="Calibri" w:cs="Calibri"/>
          <w:b/>
          <w:bCs/>
          <w:i/>
          <w:iCs/>
          <w:sz w:val="22"/>
          <w:szCs w:val="22"/>
        </w:rPr>
        <w:t>a county:</w:t>
      </w:r>
    </w:p>
    <w:p w14:paraId="0539BA3E" w14:textId="5544CA6B" w:rsidR="007F1133" w:rsidRPr="00EB107A" w:rsidRDefault="007F1133" w:rsidP="00551F7F">
      <w:pPr>
        <w:spacing w:before="80"/>
        <w:ind w:left="720" w:right="86"/>
        <w:rPr>
          <w:rFonts w:ascii="Calibri" w:eastAsia="Calibri" w:hAnsi="Calibri" w:cs="Calibri"/>
          <w:sz w:val="22"/>
          <w:szCs w:val="22"/>
        </w:rPr>
      </w:pPr>
      <w:r w:rsidRPr="00EB107A">
        <w:rPr>
          <w:rFonts w:ascii="Calibri" w:eastAsia="Calibri" w:hAnsi="Calibri" w:cs="Calibri"/>
          <w:sz w:val="22"/>
          <w:szCs w:val="22"/>
        </w:rPr>
        <w:t xml:space="preserve">Per Medicaid rule (see </w:t>
      </w:r>
      <w:hyperlink r:id="rId12" w:history="1">
        <w:proofErr w:type="spellStart"/>
        <w:r w:rsidRPr="00EB107A">
          <w:rPr>
            <w:rFonts w:ascii="Calibri" w:eastAsia="Calibri" w:hAnsi="Calibri" w:cs="Calibri"/>
            <w:color w:val="0563C1"/>
            <w:sz w:val="22"/>
            <w:szCs w:val="22"/>
            <w:u w:val="single"/>
          </w:rPr>
          <w:t>ForwardHealth</w:t>
        </w:r>
        <w:proofErr w:type="spellEnd"/>
        <w:r w:rsidRPr="00EB107A">
          <w:rPr>
            <w:rFonts w:ascii="Calibri" w:eastAsia="Calibri" w:hAnsi="Calibri" w:cs="Calibri"/>
            <w:color w:val="0563C1"/>
            <w:sz w:val="22"/>
            <w:szCs w:val="22"/>
            <w:u w:val="single"/>
          </w:rPr>
          <w:t xml:space="preserve"> Update No. 2014-42</w:t>
        </w:r>
      </w:hyperlink>
      <w:r w:rsidRPr="00EB107A">
        <w:rPr>
          <w:rFonts w:ascii="Calibri" w:eastAsia="Calibri" w:hAnsi="Calibri" w:cs="Calibri"/>
          <w:sz w:val="22"/>
          <w:szCs w:val="22"/>
        </w:rPr>
        <w:t>), Providers can only submit interim (</w:t>
      </w:r>
      <w:proofErr w:type="gramStart"/>
      <w:r w:rsidRPr="00EB107A">
        <w:rPr>
          <w:rFonts w:ascii="Calibri" w:eastAsia="Calibri" w:hAnsi="Calibri" w:cs="Calibri"/>
          <w:sz w:val="22"/>
          <w:szCs w:val="22"/>
        </w:rPr>
        <w:t>e.g.</w:t>
      </w:r>
      <w:proofErr w:type="gramEnd"/>
      <w:r w:rsidRPr="00EB107A">
        <w:rPr>
          <w:rFonts w:ascii="Calibri" w:eastAsia="Calibri" w:hAnsi="Calibri" w:cs="Calibri"/>
          <w:sz w:val="22"/>
          <w:szCs w:val="22"/>
        </w:rPr>
        <w:t xml:space="preserve"> monthly) claims for reimbursement for the following types of direct costs:</w:t>
      </w:r>
    </w:p>
    <w:p w14:paraId="12AA9758" w14:textId="4AA12BDF" w:rsidR="007F1133" w:rsidRPr="00EB107A" w:rsidRDefault="007F1133" w:rsidP="00551F7F">
      <w:pPr>
        <w:pStyle w:val="ListParagraph"/>
        <w:numPr>
          <w:ilvl w:val="0"/>
          <w:numId w:val="16"/>
        </w:numPr>
        <w:spacing w:before="120"/>
        <w:ind w:left="1080" w:right="90"/>
        <w:rPr>
          <w:rFonts w:ascii="Calibri" w:eastAsia="Calibri" w:hAnsi="Calibri" w:cs="Calibri"/>
          <w:sz w:val="22"/>
          <w:szCs w:val="22"/>
        </w:rPr>
      </w:pPr>
      <w:r w:rsidRPr="00EB107A">
        <w:rPr>
          <w:rFonts w:ascii="Calibri" w:eastAsia="Calibri" w:hAnsi="Calibri" w:cs="Calibri"/>
          <w:b/>
          <w:bCs/>
          <w:sz w:val="22"/>
          <w:szCs w:val="22"/>
        </w:rPr>
        <w:t>Service delivery time.</w:t>
      </w:r>
      <w:r w:rsidRPr="00EB107A">
        <w:rPr>
          <w:rFonts w:ascii="Calibri" w:eastAsia="Calibri" w:hAnsi="Calibri" w:cs="Calibri"/>
          <w:sz w:val="22"/>
          <w:szCs w:val="22"/>
        </w:rPr>
        <w:t>  Allowable types of</w:t>
      </w:r>
      <w:r w:rsidR="00AC50B3" w:rsidRPr="00EB107A">
        <w:rPr>
          <w:rFonts w:ascii="Calibri" w:eastAsia="Calibri" w:hAnsi="Calibri" w:cs="Calibri"/>
          <w:sz w:val="22"/>
          <w:szCs w:val="22"/>
        </w:rPr>
        <w:t xml:space="preserve"> direct</w:t>
      </w:r>
      <w:r w:rsidRPr="00EB107A">
        <w:rPr>
          <w:rFonts w:ascii="Calibri" w:eastAsia="Calibri" w:hAnsi="Calibri" w:cs="Calibri"/>
          <w:sz w:val="22"/>
          <w:szCs w:val="22"/>
        </w:rPr>
        <w:t xml:space="preserve"> service are described in the CCS Service Array, which can be found in Attachment 1 of the </w:t>
      </w:r>
      <w:hyperlink r:id="rId13" w:history="1">
        <w:proofErr w:type="spellStart"/>
        <w:r w:rsidRPr="00EB107A">
          <w:rPr>
            <w:rFonts w:ascii="Calibri" w:eastAsia="Calibri" w:hAnsi="Calibri" w:cs="Calibri"/>
            <w:color w:val="0563C1"/>
            <w:sz w:val="22"/>
            <w:szCs w:val="22"/>
            <w:u w:val="single"/>
          </w:rPr>
          <w:t>ForwardHealth</w:t>
        </w:r>
        <w:proofErr w:type="spellEnd"/>
        <w:r w:rsidRPr="00EB107A">
          <w:rPr>
            <w:rFonts w:ascii="Calibri" w:eastAsia="Calibri" w:hAnsi="Calibri" w:cs="Calibri"/>
            <w:color w:val="0563C1"/>
            <w:sz w:val="22"/>
            <w:szCs w:val="22"/>
            <w:u w:val="single"/>
          </w:rPr>
          <w:t xml:space="preserve"> Update</w:t>
        </w:r>
      </w:hyperlink>
      <w:r w:rsidR="00AE3CCD" w:rsidRPr="00EB107A">
        <w:rPr>
          <w:rFonts w:ascii="Calibri" w:eastAsia="Calibri" w:hAnsi="Calibri" w:cs="Calibri"/>
          <w:sz w:val="22"/>
          <w:szCs w:val="22"/>
        </w:rPr>
        <w:t xml:space="preserve">.  </w:t>
      </w:r>
      <w:proofErr w:type="gramStart"/>
      <w:r w:rsidR="00551F7F" w:rsidRPr="00EB107A">
        <w:rPr>
          <w:rFonts w:ascii="Calibri" w:eastAsia="Calibri" w:hAnsi="Calibri" w:cs="Calibri"/>
          <w:sz w:val="22"/>
          <w:szCs w:val="22"/>
        </w:rPr>
        <w:t>In order to</w:t>
      </w:r>
      <w:proofErr w:type="gramEnd"/>
      <w:r w:rsidR="00551F7F" w:rsidRPr="00EB107A">
        <w:rPr>
          <w:rFonts w:ascii="Calibri" w:eastAsia="Calibri" w:hAnsi="Calibri" w:cs="Calibri"/>
          <w:sz w:val="22"/>
          <w:szCs w:val="22"/>
        </w:rPr>
        <w:t xml:space="preserve"> be considered a direct service, the consumer must be present</w:t>
      </w:r>
      <w:r w:rsidR="009269D5" w:rsidRPr="00EB107A">
        <w:rPr>
          <w:rFonts w:ascii="Calibri" w:eastAsia="Calibri" w:hAnsi="Calibri" w:cs="Calibri"/>
          <w:sz w:val="22"/>
          <w:szCs w:val="22"/>
        </w:rPr>
        <w:t xml:space="preserve">. </w:t>
      </w:r>
      <w:r w:rsidR="000E6B1C" w:rsidRPr="00EB107A">
        <w:rPr>
          <w:rFonts w:ascii="Calibri" w:eastAsia="Calibri" w:hAnsi="Calibri" w:cs="Calibri"/>
          <w:sz w:val="22"/>
          <w:szCs w:val="22"/>
        </w:rPr>
        <w:t xml:space="preserve"> </w:t>
      </w:r>
      <w:r w:rsidR="009269D5" w:rsidRPr="00EB107A">
        <w:rPr>
          <w:rFonts w:ascii="Calibri" w:eastAsia="Calibri" w:hAnsi="Calibri" w:cs="Calibri"/>
          <w:sz w:val="22"/>
          <w:szCs w:val="22"/>
        </w:rPr>
        <w:t>C</w:t>
      </w:r>
      <w:r w:rsidR="000E6B1C" w:rsidRPr="00EB107A">
        <w:rPr>
          <w:rFonts w:ascii="Calibri" w:eastAsia="Calibri" w:hAnsi="Calibri" w:cs="Calibri"/>
          <w:sz w:val="22"/>
          <w:szCs w:val="22"/>
        </w:rPr>
        <w:t>ollateral contacts are not billable via interim claims and should be captured into Providers’ rates.</w:t>
      </w:r>
      <w:r w:rsidR="00551F7F" w:rsidRPr="00EB107A">
        <w:rPr>
          <w:rFonts w:ascii="Calibri" w:eastAsia="Calibri" w:hAnsi="Calibri" w:cs="Calibri"/>
          <w:sz w:val="22"/>
          <w:szCs w:val="22"/>
        </w:rPr>
        <w:t xml:space="preserve">  </w:t>
      </w:r>
      <w:r w:rsidRPr="00EB107A">
        <w:rPr>
          <w:rFonts w:ascii="Calibri" w:eastAsia="Calibri" w:hAnsi="Calibri" w:cs="Calibri"/>
          <w:i/>
          <w:iCs/>
          <w:sz w:val="22"/>
          <w:szCs w:val="22"/>
        </w:rPr>
        <w:t>The type and amount of service provided and invoiced must match what is stated in an individual consumer’s Recovery Plan.</w:t>
      </w:r>
      <w:r w:rsidRPr="00EB107A">
        <w:rPr>
          <w:rFonts w:ascii="Calibri" w:eastAsia="Calibri" w:hAnsi="Calibri" w:cs="Calibri"/>
          <w:sz w:val="22"/>
          <w:szCs w:val="22"/>
        </w:rPr>
        <w:t> </w:t>
      </w:r>
    </w:p>
    <w:p w14:paraId="22E95A42" w14:textId="71D2A45D" w:rsidR="00551F7F" w:rsidRPr="00EB107A" w:rsidRDefault="007F6074" w:rsidP="00EF542E">
      <w:pPr>
        <w:pStyle w:val="ListParagraph"/>
        <w:spacing w:before="60"/>
        <w:ind w:left="1080" w:right="86"/>
        <w:contextualSpacing w:val="0"/>
        <w:rPr>
          <w:rFonts w:ascii="Calibri" w:eastAsia="Calibri" w:hAnsi="Calibri" w:cs="Calibri"/>
          <w:sz w:val="22"/>
          <w:szCs w:val="22"/>
        </w:rPr>
      </w:pPr>
      <w:r w:rsidRPr="00EB107A">
        <w:rPr>
          <w:rFonts w:ascii="Calibri" w:eastAsia="Calibri" w:hAnsi="Calibri" w:cs="Calibri"/>
          <w:sz w:val="22"/>
          <w:szCs w:val="22"/>
        </w:rPr>
        <w:t>D</w:t>
      </w:r>
      <w:r w:rsidR="00551F7F" w:rsidRPr="00EB107A">
        <w:rPr>
          <w:rFonts w:ascii="Calibri" w:eastAsia="Calibri" w:hAnsi="Calibri" w:cs="Calibri"/>
          <w:sz w:val="22"/>
          <w:szCs w:val="22"/>
        </w:rPr>
        <w:t xml:space="preserve">irect services may be provided in-person or </w:t>
      </w:r>
      <w:r w:rsidRPr="00EB107A">
        <w:rPr>
          <w:rFonts w:ascii="Calibri" w:eastAsia="Calibri" w:hAnsi="Calibri" w:cs="Calibri"/>
          <w:sz w:val="22"/>
          <w:szCs w:val="22"/>
        </w:rPr>
        <w:t xml:space="preserve">(if authorized) </w:t>
      </w:r>
      <w:r w:rsidR="00551F7F" w:rsidRPr="00EB107A">
        <w:rPr>
          <w:rFonts w:ascii="Calibri" w:eastAsia="Calibri" w:hAnsi="Calibri" w:cs="Calibri"/>
          <w:sz w:val="22"/>
          <w:szCs w:val="22"/>
        </w:rPr>
        <w:t xml:space="preserve">via telehealth.  </w:t>
      </w:r>
    </w:p>
    <w:p w14:paraId="11042629" w14:textId="77777777" w:rsidR="007F1133" w:rsidRPr="00EB107A" w:rsidRDefault="007F1133" w:rsidP="007F1133">
      <w:pPr>
        <w:numPr>
          <w:ilvl w:val="0"/>
          <w:numId w:val="14"/>
        </w:numPr>
        <w:spacing w:before="120"/>
        <w:ind w:right="90"/>
        <w:rPr>
          <w:rFonts w:ascii="Calibri" w:eastAsia="Calibri" w:hAnsi="Calibri" w:cs="Calibri"/>
          <w:sz w:val="22"/>
          <w:szCs w:val="22"/>
        </w:rPr>
      </w:pPr>
      <w:r w:rsidRPr="00EB107A">
        <w:rPr>
          <w:rFonts w:ascii="Calibri" w:eastAsia="Calibri" w:hAnsi="Calibri" w:cs="Calibri"/>
          <w:b/>
          <w:bCs/>
          <w:sz w:val="22"/>
          <w:szCs w:val="22"/>
        </w:rPr>
        <w:t>Provider Travel Time</w:t>
      </w:r>
      <w:r w:rsidRPr="00EB107A">
        <w:rPr>
          <w:rFonts w:ascii="Calibri" w:eastAsia="Calibri" w:hAnsi="Calibri" w:cs="Calibri"/>
          <w:sz w:val="22"/>
          <w:szCs w:val="22"/>
        </w:rPr>
        <w:t xml:space="preserve"> – defined as time for a service provider to travel to provide a CCS service to a consumer.</w:t>
      </w:r>
      <w:r w:rsidR="00E77ACE" w:rsidRPr="00EB107A">
        <w:rPr>
          <w:rFonts w:ascii="Calibri" w:eastAsia="Calibri" w:hAnsi="Calibri" w:cs="Calibri"/>
          <w:sz w:val="22"/>
          <w:szCs w:val="22"/>
        </w:rPr>
        <w:t xml:space="preserve">  </w:t>
      </w:r>
    </w:p>
    <w:p w14:paraId="6738BF78" w14:textId="5544E685" w:rsidR="00E77ACE" w:rsidRPr="00EB107A" w:rsidRDefault="00E77ACE" w:rsidP="00E77ACE">
      <w:pPr>
        <w:tabs>
          <w:tab w:val="left" w:pos="1080"/>
        </w:tabs>
        <w:spacing w:before="60"/>
        <w:ind w:left="1080" w:right="86"/>
        <w:rPr>
          <w:rFonts w:ascii="Calibri" w:hAnsi="Calibri"/>
          <w:sz w:val="22"/>
          <w:szCs w:val="22"/>
        </w:rPr>
      </w:pPr>
      <w:r w:rsidRPr="00EB107A">
        <w:rPr>
          <w:rFonts w:ascii="Calibri" w:eastAsia="Calibri" w:hAnsi="Calibri" w:cs="Calibri"/>
          <w:sz w:val="22"/>
          <w:szCs w:val="22"/>
        </w:rPr>
        <w:t xml:space="preserve">If the provider does not have contact with the consumer, then the travel time is not billable </w:t>
      </w:r>
      <w:r w:rsidR="0041685C" w:rsidRPr="00EB107A">
        <w:rPr>
          <w:rFonts w:ascii="Calibri" w:eastAsia="Calibri" w:hAnsi="Calibri" w:cs="Calibri"/>
          <w:sz w:val="22"/>
          <w:szCs w:val="22"/>
        </w:rPr>
        <w:t>on an interim basis</w:t>
      </w:r>
      <w:r w:rsidRPr="00EB107A">
        <w:rPr>
          <w:rFonts w:ascii="Calibri" w:eastAsia="Calibri" w:hAnsi="Calibri" w:cs="Calibri"/>
          <w:sz w:val="22"/>
          <w:szCs w:val="22"/>
        </w:rPr>
        <w:t>.  For example, if a provider goes to a consumer’s home and the consumer is not there, then the time invested is not billable as a service.  Costs associated with this time can, however, be accounted for during a provider’s rate setting process.</w:t>
      </w:r>
    </w:p>
    <w:p w14:paraId="071650DD" w14:textId="45F6FA0D" w:rsidR="007F1133" w:rsidRPr="00EB107A" w:rsidRDefault="007F1133" w:rsidP="007F1133">
      <w:pPr>
        <w:numPr>
          <w:ilvl w:val="0"/>
          <w:numId w:val="14"/>
        </w:numPr>
        <w:spacing w:before="120"/>
        <w:ind w:right="90"/>
        <w:rPr>
          <w:rFonts w:ascii="Calibri" w:eastAsia="Calibri" w:hAnsi="Calibri" w:cs="Calibri"/>
          <w:sz w:val="22"/>
          <w:szCs w:val="22"/>
        </w:rPr>
      </w:pPr>
      <w:r w:rsidRPr="00EB107A">
        <w:rPr>
          <w:rFonts w:ascii="Calibri" w:eastAsia="Calibri" w:hAnsi="Calibri" w:cs="Calibri"/>
          <w:b/>
          <w:bCs/>
          <w:sz w:val="22"/>
          <w:szCs w:val="22"/>
        </w:rPr>
        <w:t>Documentation time</w:t>
      </w:r>
      <w:r w:rsidRPr="00EB107A">
        <w:rPr>
          <w:rFonts w:ascii="Calibri" w:eastAsia="Calibri" w:hAnsi="Calibri" w:cs="Calibri"/>
          <w:sz w:val="22"/>
          <w:szCs w:val="22"/>
        </w:rPr>
        <w:t xml:space="preserve"> – defined as time after service delivery for a service provider to complete </w:t>
      </w:r>
      <w:r w:rsidR="0052756C" w:rsidRPr="00EB107A">
        <w:rPr>
          <w:rFonts w:ascii="Calibri" w:eastAsia="Calibri" w:hAnsi="Calibri" w:cs="Calibri"/>
          <w:sz w:val="22"/>
          <w:szCs w:val="22"/>
        </w:rPr>
        <w:t xml:space="preserve">the CCS </w:t>
      </w:r>
      <w:r w:rsidRPr="00EB107A">
        <w:rPr>
          <w:rFonts w:ascii="Calibri" w:eastAsia="Calibri" w:hAnsi="Calibri" w:cs="Calibri"/>
          <w:sz w:val="22"/>
          <w:szCs w:val="22"/>
        </w:rPr>
        <w:t xml:space="preserve">progress note </w:t>
      </w:r>
      <w:r w:rsidR="0052756C" w:rsidRPr="00EB107A">
        <w:rPr>
          <w:rFonts w:ascii="Calibri" w:eastAsia="Calibri" w:hAnsi="Calibri" w:cs="Calibri"/>
          <w:sz w:val="22"/>
          <w:szCs w:val="22"/>
        </w:rPr>
        <w:t>required by the Purchaser</w:t>
      </w:r>
      <w:r w:rsidRPr="00EB107A">
        <w:rPr>
          <w:rFonts w:ascii="Calibri" w:eastAsia="Calibri" w:hAnsi="Calibri" w:cs="Calibri"/>
          <w:sz w:val="22"/>
          <w:szCs w:val="22"/>
        </w:rPr>
        <w:t>.</w:t>
      </w:r>
      <w:r w:rsidR="00E7015F" w:rsidRPr="00EB107A">
        <w:rPr>
          <w:rFonts w:ascii="Calibri" w:eastAsia="Calibri" w:hAnsi="Calibri" w:cs="Calibri"/>
          <w:sz w:val="22"/>
          <w:szCs w:val="22"/>
        </w:rPr>
        <w:t xml:space="preserve">  If a provider does not have </w:t>
      </w:r>
      <w:r w:rsidR="00F116FC" w:rsidRPr="00EB107A">
        <w:rPr>
          <w:rFonts w:ascii="Calibri" w:eastAsia="Calibri" w:hAnsi="Calibri" w:cs="Calibri"/>
          <w:sz w:val="22"/>
          <w:szCs w:val="22"/>
        </w:rPr>
        <w:t xml:space="preserve">direct, face-to-face, </w:t>
      </w:r>
      <w:r w:rsidR="00F116FC" w:rsidRPr="00EB107A">
        <w:rPr>
          <w:rFonts w:ascii="Calibri" w:eastAsia="Calibri" w:hAnsi="Calibri" w:cs="Calibri"/>
          <w:sz w:val="22"/>
          <w:szCs w:val="22"/>
        </w:rPr>
        <w:lastRenderedPageBreak/>
        <w:t xml:space="preserve">or approved telehealth </w:t>
      </w:r>
      <w:r w:rsidR="00E7015F" w:rsidRPr="00EB107A">
        <w:rPr>
          <w:rFonts w:ascii="Calibri" w:eastAsia="Calibri" w:hAnsi="Calibri" w:cs="Calibri"/>
          <w:sz w:val="22"/>
          <w:szCs w:val="22"/>
        </w:rPr>
        <w:t>contact with the consumer, then the documentation time is not billable on an interim basis.  Costs associated with this time can, however, be accounted for during a provider’s rate setting process.</w:t>
      </w:r>
    </w:p>
    <w:p w14:paraId="00F1EBD2" w14:textId="45BD0458" w:rsidR="00E7015F" w:rsidRPr="00EB107A" w:rsidRDefault="00E50FC2" w:rsidP="007F1133">
      <w:pPr>
        <w:spacing w:before="120"/>
        <w:ind w:left="360" w:right="90"/>
        <w:rPr>
          <w:rFonts w:ascii="Calibri" w:eastAsia="Calibri" w:hAnsi="Calibri" w:cs="Calibri"/>
          <w:b/>
          <w:bCs/>
          <w:i/>
          <w:iCs/>
          <w:sz w:val="22"/>
          <w:szCs w:val="22"/>
        </w:rPr>
      </w:pPr>
      <w:r w:rsidRPr="00EB107A">
        <w:rPr>
          <w:rFonts w:ascii="Calibri" w:eastAsia="Calibri" w:hAnsi="Calibri" w:cs="Calibri"/>
          <w:b/>
          <w:bCs/>
          <w:i/>
          <w:iCs/>
          <w:sz w:val="22"/>
          <w:szCs w:val="22"/>
        </w:rPr>
        <w:t>Costs</w:t>
      </w:r>
      <w:r w:rsidR="00E7015F" w:rsidRPr="00EB107A">
        <w:rPr>
          <w:rFonts w:ascii="Calibri" w:eastAsia="Calibri" w:hAnsi="Calibri" w:cs="Calibri"/>
          <w:b/>
          <w:bCs/>
          <w:i/>
          <w:iCs/>
          <w:sz w:val="22"/>
          <w:szCs w:val="22"/>
        </w:rPr>
        <w:t xml:space="preserve"> not directly billable to a county:</w:t>
      </w:r>
    </w:p>
    <w:p w14:paraId="7E28E1D5" w14:textId="13FF25F6" w:rsidR="007F1133" w:rsidRPr="00EB107A" w:rsidRDefault="00E7015F" w:rsidP="00E7015F">
      <w:pPr>
        <w:spacing w:before="120"/>
        <w:ind w:left="720" w:right="90"/>
        <w:rPr>
          <w:rFonts w:ascii="Calibri" w:eastAsia="Calibri" w:hAnsi="Calibri" w:cs="Calibri"/>
          <w:sz w:val="22"/>
          <w:szCs w:val="22"/>
        </w:rPr>
      </w:pPr>
      <w:r w:rsidRPr="00EB107A">
        <w:rPr>
          <w:rFonts w:ascii="Calibri" w:eastAsia="Calibri" w:hAnsi="Calibri" w:cs="Calibri"/>
          <w:iCs/>
          <w:sz w:val="22"/>
          <w:szCs w:val="22"/>
        </w:rPr>
        <w:t>D</w:t>
      </w:r>
      <w:r w:rsidR="007F1133" w:rsidRPr="00EB107A">
        <w:rPr>
          <w:rFonts w:ascii="Calibri" w:eastAsia="Calibri" w:hAnsi="Calibri" w:cs="Calibri"/>
          <w:iCs/>
          <w:sz w:val="22"/>
          <w:szCs w:val="22"/>
        </w:rPr>
        <w:t>irect to service costs</w:t>
      </w:r>
      <w:r w:rsidR="007F1133" w:rsidRPr="00EB107A">
        <w:rPr>
          <w:rFonts w:ascii="Calibri" w:eastAsia="Calibri" w:hAnsi="Calibri" w:cs="Calibri"/>
          <w:sz w:val="22"/>
          <w:szCs w:val="22"/>
        </w:rPr>
        <w:t xml:space="preserve"> that are necessary to support the CCS services an </w:t>
      </w:r>
      <w:r w:rsidR="00F75B45" w:rsidRPr="00EB107A">
        <w:rPr>
          <w:rFonts w:ascii="Calibri" w:eastAsia="Calibri" w:hAnsi="Calibri" w:cs="Calibri"/>
          <w:sz w:val="22"/>
          <w:szCs w:val="22"/>
        </w:rPr>
        <w:t xml:space="preserve">individual or </w:t>
      </w:r>
      <w:r w:rsidR="007F1133" w:rsidRPr="00EB107A">
        <w:rPr>
          <w:rFonts w:ascii="Calibri" w:eastAsia="Calibri" w:hAnsi="Calibri" w:cs="Calibri"/>
          <w:sz w:val="22"/>
          <w:szCs w:val="22"/>
        </w:rPr>
        <w:t>agency provides (</w:t>
      </w:r>
      <w:proofErr w:type="gramStart"/>
      <w:r w:rsidR="007F1133" w:rsidRPr="00EB107A">
        <w:rPr>
          <w:rFonts w:ascii="Calibri" w:eastAsia="Calibri" w:hAnsi="Calibri" w:cs="Calibri"/>
          <w:sz w:val="22"/>
          <w:szCs w:val="22"/>
        </w:rPr>
        <w:t>e.g.</w:t>
      </w:r>
      <w:proofErr w:type="gramEnd"/>
      <w:r w:rsidR="007F1133" w:rsidRPr="00EB107A">
        <w:rPr>
          <w:rFonts w:ascii="Calibri" w:eastAsia="Calibri" w:hAnsi="Calibri" w:cs="Calibri"/>
          <w:sz w:val="22"/>
          <w:szCs w:val="22"/>
        </w:rPr>
        <w:t xml:space="preserve"> time providing supervision, </w:t>
      </w:r>
      <w:r w:rsidR="00FE2403" w:rsidRPr="00EB107A">
        <w:rPr>
          <w:rFonts w:ascii="Calibri" w:eastAsia="Calibri" w:hAnsi="Calibri" w:cs="Calibri"/>
          <w:sz w:val="22"/>
          <w:szCs w:val="22"/>
        </w:rPr>
        <w:t xml:space="preserve">in person or phone contact with collateral contacts, phone calls with consumers, </w:t>
      </w:r>
      <w:r w:rsidR="007F1133" w:rsidRPr="00EB107A">
        <w:rPr>
          <w:rFonts w:ascii="Calibri" w:eastAsia="Calibri" w:hAnsi="Calibri" w:cs="Calibri"/>
          <w:sz w:val="22"/>
          <w:szCs w:val="22"/>
        </w:rPr>
        <w:t>orientation and training</w:t>
      </w:r>
      <w:r w:rsidR="00FE2403" w:rsidRPr="00EB107A">
        <w:rPr>
          <w:rFonts w:ascii="Calibri" w:eastAsia="Calibri" w:hAnsi="Calibri" w:cs="Calibri"/>
          <w:sz w:val="22"/>
          <w:szCs w:val="22"/>
        </w:rPr>
        <w:t>, etc.</w:t>
      </w:r>
      <w:r w:rsidR="007F1133" w:rsidRPr="00EB107A">
        <w:rPr>
          <w:rFonts w:ascii="Calibri" w:eastAsia="Calibri" w:hAnsi="Calibri" w:cs="Calibri"/>
          <w:sz w:val="22"/>
          <w:szCs w:val="22"/>
        </w:rPr>
        <w:t xml:space="preserve">), and allocable </w:t>
      </w:r>
      <w:r w:rsidR="007F1133" w:rsidRPr="00EB107A">
        <w:rPr>
          <w:rFonts w:ascii="Calibri" w:eastAsia="Calibri" w:hAnsi="Calibri" w:cs="Calibri"/>
          <w:iCs/>
          <w:sz w:val="22"/>
          <w:szCs w:val="22"/>
        </w:rPr>
        <w:t>general overhead costs</w:t>
      </w:r>
      <w:r w:rsidR="007F1133" w:rsidRPr="00EB107A">
        <w:rPr>
          <w:rFonts w:ascii="Calibri" w:eastAsia="Calibri" w:hAnsi="Calibri" w:cs="Calibri"/>
          <w:sz w:val="22"/>
          <w:szCs w:val="22"/>
        </w:rPr>
        <w:t xml:space="preserve"> (e.g. utility costs, accounting, financial, agency administration, etc.) are reimbursable, </w:t>
      </w:r>
      <w:r w:rsidR="007F1133" w:rsidRPr="00EB107A">
        <w:rPr>
          <w:rFonts w:ascii="Calibri" w:eastAsia="Calibri" w:hAnsi="Calibri" w:cs="Calibri"/>
          <w:i/>
          <w:iCs/>
          <w:sz w:val="22"/>
          <w:szCs w:val="22"/>
        </w:rPr>
        <w:t xml:space="preserve">but </w:t>
      </w:r>
      <w:r w:rsidR="00F75B45" w:rsidRPr="00EB107A">
        <w:rPr>
          <w:rFonts w:ascii="Calibri" w:eastAsia="Calibri" w:hAnsi="Calibri" w:cs="Calibri"/>
          <w:b/>
          <w:bCs/>
          <w:i/>
          <w:iCs/>
          <w:sz w:val="22"/>
          <w:szCs w:val="22"/>
        </w:rPr>
        <w:t>cannot</w:t>
      </w:r>
      <w:r w:rsidR="007F1133" w:rsidRPr="00EB107A">
        <w:rPr>
          <w:rFonts w:ascii="Calibri" w:eastAsia="Calibri" w:hAnsi="Calibri" w:cs="Calibri"/>
          <w:i/>
          <w:iCs/>
          <w:sz w:val="22"/>
          <w:szCs w:val="22"/>
        </w:rPr>
        <w:t xml:space="preserve"> be billed/invoiced on a monthly basis</w:t>
      </w:r>
      <w:r w:rsidR="007F1133" w:rsidRPr="00EB107A">
        <w:rPr>
          <w:rFonts w:ascii="Calibri" w:eastAsia="Calibri" w:hAnsi="Calibri" w:cs="Calibri"/>
          <w:sz w:val="22"/>
          <w:szCs w:val="22"/>
        </w:rPr>
        <w:t>.  Rather, these costs can and should be built into the provider’s hourly rate(s).</w:t>
      </w:r>
    </w:p>
    <w:p w14:paraId="016CA763" w14:textId="0D3C5ED6" w:rsidR="007F1133" w:rsidRPr="00EB107A" w:rsidRDefault="007F1133" w:rsidP="00E7015F">
      <w:pPr>
        <w:spacing w:before="120"/>
        <w:ind w:left="720" w:right="90"/>
        <w:rPr>
          <w:rFonts w:ascii="Calibri" w:eastAsia="Calibri" w:hAnsi="Calibri" w:cs="Calibri"/>
          <w:sz w:val="22"/>
          <w:szCs w:val="22"/>
        </w:rPr>
      </w:pPr>
      <w:r w:rsidRPr="00EB107A">
        <w:rPr>
          <w:rFonts w:ascii="Calibri" w:eastAsia="Calibri" w:hAnsi="Calibri" w:cs="Calibri"/>
          <w:sz w:val="22"/>
          <w:szCs w:val="22"/>
        </w:rPr>
        <w:t xml:space="preserve">Providers </w:t>
      </w:r>
      <w:r w:rsidR="0010528E" w:rsidRPr="00EB107A">
        <w:rPr>
          <w:rFonts w:ascii="Calibri" w:eastAsia="Calibri" w:hAnsi="Calibri" w:cs="Calibri"/>
          <w:sz w:val="22"/>
          <w:szCs w:val="22"/>
        </w:rPr>
        <w:t>will</w:t>
      </w:r>
      <w:r w:rsidRPr="00EB107A">
        <w:rPr>
          <w:rFonts w:ascii="Calibri" w:eastAsia="Calibri" w:hAnsi="Calibri" w:cs="Calibri"/>
          <w:sz w:val="22"/>
          <w:szCs w:val="22"/>
        </w:rPr>
        <w:t xml:space="preserve"> be asked to provide documentation of actual costs / justification of rates to the county(</w:t>
      </w:r>
      <w:proofErr w:type="spellStart"/>
      <w:r w:rsidRPr="00EB107A">
        <w:rPr>
          <w:rFonts w:ascii="Calibri" w:eastAsia="Calibri" w:hAnsi="Calibri" w:cs="Calibri"/>
          <w:sz w:val="22"/>
          <w:szCs w:val="22"/>
        </w:rPr>
        <w:t>ies</w:t>
      </w:r>
      <w:proofErr w:type="spellEnd"/>
      <w:r w:rsidRPr="00EB107A">
        <w:rPr>
          <w:rFonts w:ascii="Calibri" w:eastAsia="Calibri" w:hAnsi="Calibri" w:cs="Calibri"/>
          <w:sz w:val="22"/>
          <w:szCs w:val="22"/>
        </w:rPr>
        <w:t>) they are providing services in.  Technical assistance is available to assist providers in the rate setting process</w:t>
      </w:r>
      <w:r w:rsidR="00BA2436" w:rsidRPr="00EB107A">
        <w:rPr>
          <w:rFonts w:ascii="Calibri" w:eastAsia="Calibri" w:hAnsi="Calibri" w:cs="Calibri"/>
          <w:sz w:val="22"/>
          <w:szCs w:val="22"/>
        </w:rPr>
        <w:t xml:space="preserve"> from the county they are providing service in.  </w:t>
      </w:r>
    </w:p>
    <w:p w14:paraId="68230045" w14:textId="27FD7857" w:rsidR="00AE281E" w:rsidRPr="00EB107A" w:rsidRDefault="00AE281E" w:rsidP="00AE281E">
      <w:pPr>
        <w:spacing w:before="120"/>
        <w:ind w:left="360" w:right="90"/>
        <w:rPr>
          <w:rFonts w:ascii="Calibri" w:eastAsia="Calibri" w:hAnsi="Calibri" w:cs="Calibri"/>
          <w:b/>
          <w:bCs/>
          <w:i/>
          <w:iCs/>
          <w:sz w:val="22"/>
          <w:szCs w:val="22"/>
        </w:rPr>
      </w:pPr>
      <w:r w:rsidRPr="00EB107A">
        <w:rPr>
          <w:rFonts w:ascii="Calibri" w:eastAsia="Calibri" w:hAnsi="Calibri" w:cs="Calibri"/>
          <w:b/>
          <w:bCs/>
          <w:i/>
          <w:iCs/>
          <w:sz w:val="22"/>
          <w:szCs w:val="22"/>
        </w:rPr>
        <w:t>Documentation:</w:t>
      </w:r>
    </w:p>
    <w:p w14:paraId="4FE0293E" w14:textId="6BA73D28" w:rsidR="00AE281E" w:rsidRPr="00EB107A" w:rsidRDefault="00AE281E" w:rsidP="00DF51A9">
      <w:pPr>
        <w:tabs>
          <w:tab w:val="left" w:pos="1440"/>
        </w:tabs>
        <w:spacing w:before="60"/>
        <w:ind w:left="720" w:right="86"/>
        <w:rPr>
          <w:rFonts w:ascii="Calibri" w:hAnsi="Calibri"/>
          <w:sz w:val="22"/>
          <w:szCs w:val="22"/>
        </w:rPr>
      </w:pPr>
      <w:r w:rsidRPr="00EB107A">
        <w:rPr>
          <w:rFonts w:ascii="Calibri" w:eastAsia="Calibri" w:hAnsi="Calibri" w:cs="Calibri"/>
          <w:sz w:val="22"/>
          <w:szCs w:val="22"/>
        </w:rPr>
        <w:t xml:space="preserve">Providers are required to document the services provided, and to submit claims for service delivery time, documentation, and provider travel time.  The standard documentation format used by the CWHP is the </w:t>
      </w:r>
      <w:r w:rsidR="006925D5" w:rsidRPr="00EB107A">
        <w:rPr>
          <w:rFonts w:ascii="Calibri" w:eastAsia="Calibri" w:hAnsi="Calibri" w:cs="Calibri"/>
          <w:sz w:val="22"/>
          <w:szCs w:val="22"/>
        </w:rPr>
        <w:t xml:space="preserve">typed </w:t>
      </w:r>
      <w:r w:rsidRPr="00EB107A">
        <w:rPr>
          <w:rFonts w:ascii="Calibri" w:eastAsia="Calibri" w:hAnsi="Calibri" w:cs="Calibri"/>
          <w:sz w:val="22"/>
          <w:szCs w:val="22"/>
        </w:rPr>
        <w:t xml:space="preserve">TARP Progress Note.   Alternative formats may be considered but must be reviewed and approved by the </w:t>
      </w:r>
      <w:proofErr w:type="gramStart"/>
      <w:r w:rsidRPr="00EB107A">
        <w:rPr>
          <w:rFonts w:ascii="Calibri" w:eastAsia="Calibri" w:hAnsi="Calibri" w:cs="Calibri"/>
          <w:sz w:val="22"/>
          <w:szCs w:val="22"/>
        </w:rPr>
        <w:t>Coordinator</w:t>
      </w:r>
      <w:proofErr w:type="gramEnd"/>
      <w:r w:rsidRPr="00EB107A">
        <w:rPr>
          <w:rFonts w:ascii="Calibri" w:eastAsia="Calibri" w:hAnsi="Calibri" w:cs="Calibri"/>
          <w:sz w:val="22"/>
          <w:szCs w:val="22"/>
        </w:rPr>
        <w:t xml:space="preserve">(s) of the CCS programs for which you are providing services.  During contract development, specific guidelines will address how to turn in documentation and when it will be due. </w:t>
      </w:r>
    </w:p>
    <w:p w14:paraId="78622C7B" w14:textId="77777777" w:rsidR="005215CF" w:rsidRPr="00EB107A" w:rsidRDefault="005215CF" w:rsidP="00031811">
      <w:pPr>
        <w:rPr>
          <w:rFonts w:ascii="Calibri" w:hAnsi="Calibri"/>
          <w:b/>
          <w:sz w:val="22"/>
          <w:szCs w:val="22"/>
        </w:rPr>
      </w:pPr>
    </w:p>
    <w:p w14:paraId="04121E9F" w14:textId="0837F7C3" w:rsidR="00C35924" w:rsidRPr="00EB107A" w:rsidRDefault="000B5613" w:rsidP="00C731EE">
      <w:pPr>
        <w:tabs>
          <w:tab w:val="left" w:pos="1440"/>
        </w:tabs>
        <w:ind w:right="90"/>
        <w:rPr>
          <w:rFonts w:ascii="Calibri" w:hAnsi="Calibri"/>
          <w:b/>
          <w:sz w:val="22"/>
          <w:szCs w:val="22"/>
        </w:rPr>
      </w:pPr>
      <w:r w:rsidRPr="00EB107A">
        <w:rPr>
          <w:rFonts w:ascii="Calibri" w:hAnsi="Calibri"/>
          <w:b/>
          <w:sz w:val="22"/>
          <w:szCs w:val="22"/>
        </w:rPr>
        <w:t>Rate Setting</w:t>
      </w:r>
      <w:r w:rsidR="00C731EE" w:rsidRPr="00EB107A">
        <w:rPr>
          <w:rFonts w:ascii="Calibri" w:hAnsi="Calibri"/>
          <w:b/>
          <w:sz w:val="22"/>
          <w:szCs w:val="22"/>
        </w:rPr>
        <w:t xml:space="preserve"> - </w:t>
      </w:r>
      <w:r w:rsidR="00C35924" w:rsidRPr="00EB107A">
        <w:rPr>
          <w:rFonts w:ascii="Calibri" w:hAnsi="Calibri"/>
          <w:b/>
          <w:sz w:val="22"/>
          <w:szCs w:val="22"/>
        </w:rPr>
        <w:t>Expectations for Providers</w:t>
      </w:r>
    </w:p>
    <w:p w14:paraId="2FDCD865" w14:textId="1B3D7D70" w:rsidR="00771338" w:rsidRPr="00EB107A" w:rsidRDefault="002B4FDD" w:rsidP="00C731EE">
      <w:pPr>
        <w:pStyle w:val="ListParagraph"/>
        <w:numPr>
          <w:ilvl w:val="0"/>
          <w:numId w:val="14"/>
        </w:numPr>
        <w:tabs>
          <w:tab w:val="left" w:pos="720"/>
        </w:tabs>
        <w:spacing w:before="60"/>
        <w:ind w:left="720" w:right="86"/>
        <w:contextualSpacing w:val="0"/>
        <w:rPr>
          <w:rFonts w:ascii="Calibri" w:hAnsi="Calibri"/>
          <w:bCs/>
          <w:sz w:val="22"/>
          <w:szCs w:val="22"/>
        </w:rPr>
      </w:pPr>
      <w:r w:rsidRPr="00EB107A">
        <w:rPr>
          <w:rFonts w:ascii="Calibri" w:hAnsi="Calibri"/>
          <w:bCs/>
          <w:sz w:val="22"/>
          <w:szCs w:val="22"/>
        </w:rPr>
        <w:t>Compliance with</w:t>
      </w:r>
      <w:r w:rsidR="00771338" w:rsidRPr="00EB107A">
        <w:rPr>
          <w:rFonts w:ascii="Calibri" w:hAnsi="Calibri"/>
          <w:bCs/>
          <w:sz w:val="22"/>
          <w:szCs w:val="22"/>
        </w:rPr>
        <w:t xml:space="preserve"> </w:t>
      </w:r>
      <w:proofErr w:type="spellStart"/>
      <w:r w:rsidR="00771338" w:rsidRPr="00EB107A">
        <w:rPr>
          <w:rFonts w:ascii="Calibri" w:hAnsi="Calibri"/>
          <w:bCs/>
          <w:sz w:val="22"/>
          <w:szCs w:val="22"/>
        </w:rPr>
        <w:t>ForwardHealth</w:t>
      </w:r>
      <w:proofErr w:type="spellEnd"/>
      <w:r w:rsidR="00771338" w:rsidRPr="00EB107A">
        <w:rPr>
          <w:rFonts w:ascii="Calibri" w:hAnsi="Calibri"/>
          <w:bCs/>
          <w:sz w:val="22"/>
          <w:szCs w:val="22"/>
        </w:rPr>
        <w:t xml:space="preserve"> Update 2014-42</w:t>
      </w:r>
      <w:r w:rsidR="00A9449B" w:rsidRPr="00EB107A">
        <w:rPr>
          <w:rFonts w:ascii="Calibri" w:hAnsi="Calibri"/>
          <w:bCs/>
          <w:sz w:val="22"/>
          <w:szCs w:val="22"/>
        </w:rPr>
        <w:t>, specifically</w:t>
      </w:r>
      <w:r w:rsidR="00771338" w:rsidRPr="00EB107A">
        <w:rPr>
          <w:rFonts w:ascii="Calibri" w:hAnsi="Calibri"/>
          <w:bCs/>
          <w:sz w:val="22"/>
          <w:szCs w:val="22"/>
        </w:rPr>
        <w:t xml:space="preserve">: </w:t>
      </w:r>
    </w:p>
    <w:p w14:paraId="46666AF1" w14:textId="0727A84E" w:rsidR="00771338" w:rsidRPr="00EB107A" w:rsidRDefault="00771338" w:rsidP="00167D28">
      <w:pPr>
        <w:pStyle w:val="ListParagraph"/>
        <w:tabs>
          <w:tab w:val="left" w:pos="720"/>
        </w:tabs>
        <w:spacing w:before="60"/>
        <w:ind w:right="36"/>
        <w:contextualSpacing w:val="0"/>
        <w:rPr>
          <w:rFonts w:ascii="Calibri" w:hAnsi="Calibri"/>
          <w:bCs/>
          <w:sz w:val="22"/>
          <w:szCs w:val="22"/>
        </w:rPr>
      </w:pPr>
      <w:r w:rsidRPr="00EB107A">
        <w:rPr>
          <w:rFonts w:ascii="Calibri" w:hAnsi="Calibri"/>
          <w:bCs/>
          <w:sz w:val="22"/>
          <w:szCs w:val="22"/>
        </w:rPr>
        <w:t xml:space="preserve">Providers are required to indicate their usual and customary charge on claim details when submitting claims. The usual and customary charge is the provider’s charge for providing the same service to persons not entitled to the program’s benefits through Medicaid or </w:t>
      </w:r>
      <w:proofErr w:type="spellStart"/>
      <w:r w:rsidRPr="00EB107A">
        <w:rPr>
          <w:rFonts w:ascii="Calibri" w:hAnsi="Calibri"/>
          <w:bCs/>
          <w:sz w:val="22"/>
          <w:szCs w:val="22"/>
        </w:rPr>
        <w:t>BadgerCare</w:t>
      </w:r>
      <w:proofErr w:type="spellEnd"/>
      <w:r w:rsidRPr="00EB107A">
        <w:rPr>
          <w:rFonts w:ascii="Calibri" w:hAnsi="Calibri"/>
          <w:bCs/>
          <w:sz w:val="22"/>
          <w:szCs w:val="22"/>
        </w:rPr>
        <w:t xml:space="preserve"> Plus. For providers using a sliding scale, the usual and customary charge is the median of the individual provider’s charge for the service when provided to non-Medicaid or </w:t>
      </w:r>
      <w:proofErr w:type="spellStart"/>
      <w:r w:rsidRPr="00EB107A">
        <w:rPr>
          <w:rFonts w:ascii="Calibri" w:hAnsi="Calibri"/>
          <w:bCs/>
          <w:sz w:val="22"/>
          <w:szCs w:val="22"/>
        </w:rPr>
        <w:t>BadgerCare</w:t>
      </w:r>
      <w:proofErr w:type="spellEnd"/>
      <w:r w:rsidRPr="00EB107A">
        <w:rPr>
          <w:rFonts w:ascii="Calibri" w:hAnsi="Calibri"/>
          <w:bCs/>
          <w:sz w:val="22"/>
          <w:szCs w:val="22"/>
        </w:rPr>
        <w:t xml:space="preserve"> program patients. For providers who have not established usual and customary charges, the charge should be reasonably related to the provider's cost for providing the service.</w:t>
      </w:r>
    </w:p>
    <w:p w14:paraId="4A48CD6D" w14:textId="77777777" w:rsidR="00771338" w:rsidRPr="00EB107A" w:rsidRDefault="00771338" w:rsidP="00167D28">
      <w:pPr>
        <w:pStyle w:val="ListParagraph"/>
        <w:tabs>
          <w:tab w:val="left" w:pos="720"/>
        </w:tabs>
        <w:spacing w:before="60"/>
        <w:ind w:right="36"/>
        <w:contextualSpacing w:val="0"/>
        <w:rPr>
          <w:rFonts w:ascii="Calibri" w:hAnsi="Calibri"/>
          <w:bCs/>
          <w:sz w:val="22"/>
          <w:szCs w:val="22"/>
        </w:rPr>
      </w:pPr>
      <w:r w:rsidRPr="00EB107A">
        <w:rPr>
          <w:rFonts w:ascii="Calibri" w:hAnsi="Calibri"/>
          <w:bCs/>
          <w:sz w:val="22"/>
          <w:szCs w:val="22"/>
        </w:rPr>
        <w:t xml:space="preserve">The usual and customary charge should represent the expected actual costs of providing the service </w:t>
      </w:r>
      <w:proofErr w:type="gramStart"/>
      <w:r w:rsidRPr="00EB107A">
        <w:rPr>
          <w:rFonts w:ascii="Calibri" w:hAnsi="Calibri"/>
          <w:bCs/>
          <w:sz w:val="22"/>
          <w:szCs w:val="22"/>
        </w:rPr>
        <w:t>regardless</w:t>
      </w:r>
      <w:proofErr w:type="gramEnd"/>
      <w:r w:rsidRPr="00EB107A">
        <w:rPr>
          <w:rFonts w:ascii="Calibri" w:hAnsi="Calibri"/>
          <w:bCs/>
          <w:sz w:val="22"/>
          <w:szCs w:val="22"/>
        </w:rPr>
        <w:t xml:space="preserve"> if it is greater than or less than the interim rate. Comprehensive Community Services providers should not simply bill the interim rate. The difference between the actual costs and the interim payments will be accounted for during the cost reporting and cost reconciliation process and may result in either a payment or recoupment to the county.</w:t>
      </w:r>
    </w:p>
    <w:p w14:paraId="126A7E03" w14:textId="65FD9C4C" w:rsidR="0068653B" w:rsidRPr="00EB107A" w:rsidRDefault="0068653B" w:rsidP="00C731EE">
      <w:pPr>
        <w:pStyle w:val="ListParagraph"/>
        <w:numPr>
          <w:ilvl w:val="0"/>
          <w:numId w:val="14"/>
        </w:numPr>
        <w:tabs>
          <w:tab w:val="left" w:pos="720"/>
        </w:tabs>
        <w:spacing w:before="60"/>
        <w:ind w:left="720" w:right="86"/>
        <w:contextualSpacing w:val="0"/>
        <w:rPr>
          <w:rFonts w:ascii="Calibri" w:hAnsi="Calibri"/>
          <w:bCs/>
          <w:sz w:val="22"/>
          <w:szCs w:val="22"/>
        </w:rPr>
      </w:pPr>
      <w:r w:rsidRPr="00EB107A">
        <w:rPr>
          <w:rFonts w:ascii="Calibri" w:hAnsi="Calibri"/>
          <w:bCs/>
          <w:sz w:val="22"/>
          <w:szCs w:val="22"/>
        </w:rPr>
        <w:t xml:space="preserve">Compliance with Wisconsin Department of Health Services Allowable Cost Policy Manual: </w:t>
      </w:r>
      <w:hyperlink r:id="rId14" w:history="1">
        <w:r w:rsidRPr="00EB107A">
          <w:rPr>
            <w:rStyle w:val="Hyperlink"/>
            <w:rFonts w:ascii="Calibri" w:hAnsi="Calibri"/>
            <w:bCs/>
            <w:sz w:val="22"/>
            <w:szCs w:val="22"/>
          </w:rPr>
          <w:t>https://www.dhs.wisconsin.gov/business/allow-cost-manual.htm</w:t>
        </w:r>
      </w:hyperlink>
    </w:p>
    <w:p w14:paraId="2E21D57F" w14:textId="2E0D05B4" w:rsidR="00AD363B" w:rsidRPr="00EB107A" w:rsidRDefault="006F3EC0" w:rsidP="00C731EE">
      <w:pPr>
        <w:pStyle w:val="ListParagraph"/>
        <w:numPr>
          <w:ilvl w:val="0"/>
          <w:numId w:val="14"/>
        </w:numPr>
        <w:tabs>
          <w:tab w:val="left" w:pos="720"/>
        </w:tabs>
        <w:spacing w:before="60"/>
        <w:ind w:left="720" w:right="86"/>
        <w:contextualSpacing w:val="0"/>
        <w:rPr>
          <w:rFonts w:ascii="Calibri" w:hAnsi="Calibri"/>
          <w:bCs/>
          <w:sz w:val="22"/>
          <w:szCs w:val="22"/>
        </w:rPr>
      </w:pPr>
      <w:r w:rsidRPr="00EB107A">
        <w:rPr>
          <w:rFonts w:ascii="Calibri" w:hAnsi="Calibri"/>
          <w:bCs/>
          <w:sz w:val="22"/>
          <w:szCs w:val="22"/>
        </w:rPr>
        <w:t xml:space="preserve">Compliance with Federal regulations.  </w:t>
      </w:r>
      <w:r w:rsidR="00AD363B" w:rsidRPr="00EB107A">
        <w:rPr>
          <w:rFonts w:ascii="Calibri" w:hAnsi="Calibri"/>
          <w:bCs/>
          <w:sz w:val="22"/>
          <w:szCs w:val="22"/>
        </w:rPr>
        <w:t xml:space="preserve">Federal regulations (2 C.F.R. §200.403) require that costs must be necessary and reasonable for the performance of the work, that costs are consistent with policies and procedures that apply uniformly to both CCS and non-CCS </w:t>
      </w:r>
      <w:proofErr w:type="gramStart"/>
      <w:r w:rsidR="00AD363B" w:rsidRPr="00EB107A">
        <w:rPr>
          <w:rFonts w:ascii="Calibri" w:hAnsi="Calibri"/>
          <w:bCs/>
          <w:sz w:val="22"/>
          <w:szCs w:val="22"/>
        </w:rPr>
        <w:t>funds, and</w:t>
      </w:r>
      <w:proofErr w:type="gramEnd"/>
      <w:r w:rsidR="00AD363B" w:rsidRPr="00EB107A">
        <w:rPr>
          <w:rFonts w:ascii="Calibri" w:hAnsi="Calibri"/>
          <w:bCs/>
          <w:sz w:val="22"/>
          <w:szCs w:val="22"/>
        </w:rPr>
        <w:t xml:space="preserve"> be adequately documented.</w:t>
      </w:r>
    </w:p>
    <w:p w14:paraId="3F7273CC" w14:textId="7C8FBB42" w:rsidR="00AD363B" w:rsidRPr="00EB107A" w:rsidRDefault="00AD363B" w:rsidP="00167D28">
      <w:pPr>
        <w:pStyle w:val="ListParagraph"/>
        <w:tabs>
          <w:tab w:val="left" w:pos="720"/>
        </w:tabs>
        <w:spacing w:before="60"/>
        <w:ind w:right="86"/>
        <w:contextualSpacing w:val="0"/>
        <w:rPr>
          <w:rFonts w:ascii="Calibri" w:hAnsi="Calibri"/>
          <w:bCs/>
          <w:sz w:val="22"/>
          <w:szCs w:val="22"/>
        </w:rPr>
      </w:pPr>
      <w:r w:rsidRPr="00EB107A">
        <w:rPr>
          <w:rFonts w:ascii="Calibri" w:hAnsi="Calibri"/>
          <w:bCs/>
          <w:sz w:val="22"/>
          <w:szCs w:val="22"/>
        </w:rPr>
        <w:t>A cost is reasonable if, in its nature and amount, it does not exceed that which would be incurred by a prudent person under the circumstances prevailing at the time the decision was made to incur the cost. Federal regulations provide specific guidelines on reasonable compensation for personal services (2 C.F.R.§200.430) and fringe benefits (2 C.F.R. §200.431). Compensation for employees engaged in work on CCS</w:t>
      </w:r>
      <w:r w:rsidR="00F16AEE" w:rsidRPr="00EB107A">
        <w:rPr>
          <w:rFonts w:ascii="Calibri" w:hAnsi="Calibri"/>
          <w:bCs/>
          <w:sz w:val="22"/>
          <w:szCs w:val="22"/>
        </w:rPr>
        <w:t xml:space="preserve"> </w:t>
      </w:r>
      <w:r w:rsidRPr="00EB107A">
        <w:rPr>
          <w:rFonts w:ascii="Calibri" w:hAnsi="Calibri"/>
          <w:bCs/>
          <w:sz w:val="22"/>
          <w:szCs w:val="22"/>
        </w:rPr>
        <w:t>will be considered reasonable to the extent that it is consistent with that paid for similar work in other</w:t>
      </w:r>
      <w:r w:rsidR="00F16AEE" w:rsidRPr="00EB107A">
        <w:rPr>
          <w:rFonts w:ascii="Calibri" w:hAnsi="Calibri"/>
          <w:bCs/>
          <w:sz w:val="22"/>
          <w:szCs w:val="22"/>
        </w:rPr>
        <w:t xml:space="preserve"> </w:t>
      </w:r>
      <w:r w:rsidRPr="00EB107A">
        <w:rPr>
          <w:rFonts w:ascii="Calibri" w:hAnsi="Calibri"/>
          <w:bCs/>
          <w:sz w:val="22"/>
          <w:szCs w:val="22"/>
        </w:rPr>
        <w:t>activities of the provider. In cases where the kinds of employees required for CCS are not found in the other</w:t>
      </w:r>
      <w:r w:rsidR="00F16AEE" w:rsidRPr="00EB107A">
        <w:rPr>
          <w:rFonts w:ascii="Calibri" w:hAnsi="Calibri"/>
          <w:bCs/>
          <w:sz w:val="22"/>
          <w:szCs w:val="22"/>
        </w:rPr>
        <w:t xml:space="preserve"> </w:t>
      </w:r>
      <w:r w:rsidRPr="00EB107A">
        <w:rPr>
          <w:rFonts w:ascii="Calibri" w:hAnsi="Calibri"/>
          <w:bCs/>
          <w:sz w:val="22"/>
          <w:szCs w:val="22"/>
        </w:rPr>
        <w:t xml:space="preserve">activities of the provider, compensation will be considered reasonable </w:t>
      </w:r>
      <w:r w:rsidRPr="00EB107A">
        <w:rPr>
          <w:rFonts w:ascii="Calibri" w:hAnsi="Calibri"/>
          <w:bCs/>
          <w:sz w:val="22"/>
          <w:szCs w:val="22"/>
        </w:rPr>
        <w:lastRenderedPageBreak/>
        <w:t>to the extent that it is comparable to</w:t>
      </w:r>
      <w:r w:rsidR="00F16AEE" w:rsidRPr="00EB107A">
        <w:rPr>
          <w:rFonts w:ascii="Calibri" w:hAnsi="Calibri"/>
          <w:bCs/>
          <w:sz w:val="22"/>
          <w:szCs w:val="22"/>
        </w:rPr>
        <w:t xml:space="preserve"> </w:t>
      </w:r>
      <w:r w:rsidRPr="00EB107A">
        <w:rPr>
          <w:rFonts w:ascii="Calibri" w:hAnsi="Calibri"/>
          <w:bCs/>
          <w:sz w:val="22"/>
          <w:szCs w:val="22"/>
        </w:rPr>
        <w:t>that paid for similar work in the labor market in which the provider competes for the kind of employees</w:t>
      </w:r>
      <w:r w:rsidR="00F16AEE" w:rsidRPr="00EB107A">
        <w:rPr>
          <w:rFonts w:ascii="Calibri" w:hAnsi="Calibri"/>
          <w:bCs/>
          <w:sz w:val="22"/>
          <w:szCs w:val="22"/>
        </w:rPr>
        <w:t xml:space="preserve"> </w:t>
      </w:r>
      <w:r w:rsidRPr="00EB107A">
        <w:rPr>
          <w:rFonts w:ascii="Calibri" w:hAnsi="Calibri"/>
          <w:bCs/>
          <w:sz w:val="22"/>
          <w:szCs w:val="22"/>
        </w:rPr>
        <w:t>involved.</w:t>
      </w:r>
    </w:p>
    <w:p w14:paraId="2F6301D9" w14:textId="73DB84DB" w:rsidR="00AD363B" w:rsidRPr="00EB107A" w:rsidRDefault="00AD363B" w:rsidP="00167D28">
      <w:pPr>
        <w:pStyle w:val="ListParagraph"/>
        <w:tabs>
          <w:tab w:val="left" w:pos="720"/>
        </w:tabs>
        <w:spacing w:before="60"/>
        <w:ind w:right="86"/>
        <w:contextualSpacing w:val="0"/>
        <w:rPr>
          <w:rFonts w:ascii="Calibri" w:hAnsi="Calibri"/>
          <w:bCs/>
          <w:sz w:val="22"/>
          <w:szCs w:val="22"/>
        </w:rPr>
      </w:pPr>
      <w:r w:rsidRPr="00EB107A">
        <w:rPr>
          <w:rFonts w:ascii="Calibri" w:hAnsi="Calibri"/>
          <w:bCs/>
          <w:sz w:val="22"/>
          <w:szCs w:val="22"/>
        </w:rPr>
        <w:t>Fringe benefits are allowances and services provided by employers to their employees as compensation in</w:t>
      </w:r>
      <w:r w:rsidR="00F16AEE" w:rsidRPr="00EB107A">
        <w:rPr>
          <w:rFonts w:ascii="Calibri" w:hAnsi="Calibri"/>
          <w:bCs/>
          <w:sz w:val="22"/>
          <w:szCs w:val="22"/>
        </w:rPr>
        <w:t xml:space="preserve"> </w:t>
      </w:r>
      <w:r w:rsidRPr="00EB107A">
        <w:rPr>
          <w:rFonts w:ascii="Calibri" w:hAnsi="Calibri"/>
          <w:bCs/>
          <w:sz w:val="22"/>
          <w:szCs w:val="22"/>
        </w:rPr>
        <w:t>addition to regular salaries and wages. Fringe benefits include, but are not limited to, the costs of leave</w:t>
      </w:r>
      <w:r w:rsidR="00F16AEE" w:rsidRPr="00EB107A">
        <w:rPr>
          <w:rFonts w:ascii="Calibri" w:hAnsi="Calibri"/>
          <w:bCs/>
          <w:sz w:val="22"/>
          <w:szCs w:val="22"/>
        </w:rPr>
        <w:t xml:space="preserve"> </w:t>
      </w:r>
      <w:r w:rsidRPr="00EB107A">
        <w:rPr>
          <w:rFonts w:ascii="Calibri" w:hAnsi="Calibri"/>
          <w:bCs/>
          <w:sz w:val="22"/>
          <w:szCs w:val="22"/>
        </w:rPr>
        <w:t xml:space="preserve">(vacation, family-related, </w:t>
      </w:r>
      <w:proofErr w:type="gramStart"/>
      <w:r w:rsidRPr="00EB107A">
        <w:rPr>
          <w:rFonts w:ascii="Calibri" w:hAnsi="Calibri"/>
          <w:bCs/>
          <w:sz w:val="22"/>
          <w:szCs w:val="22"/>
        </w:rPr>
        <w:t>sick</w:t>
      </w:r>
      <w:proofErr w:type="gramEnd"/>
      <w:r w:rsidRPr="00EB107A">
        <w:rPr>
          <w:rFonts w:ascii="Calibri" w:hAnsi="Calibri"/>
          <w:bCs/>
          <w:sz w:val="22"/>
          <w:szCs w:val="22"/>
        </w:rPr>
        <w:t xml:space="preserve"> or military), employee insurance, pensions, and unemployment benefit plans.</w:t>
      </w:r>
      <w:r w:rsidR="00F16AEE" w:rsidRPr="00EB107A">
        <w:rPr>
          <w:rFonts w:ascii="Calibri" w:hAnsi="Calibri"/>
          <w:bCs/>
          <w:sz w:val="22"/>
          <w:szCs w:val="22"/>
        </w:rPr>
        <w:t xml:space="preserve"> </w:t>
      </w:r>
      <w:r w:rsidRPr="00EB107A">
        <w:rPr>
          <w:rFonts w:ascii="Calibri" w:hAnsi="Calibri"/>
          <w:bCs/>
          <w:sz w:val="22"/>
          <w:szCs w:val="22"/>
        </w:rPr>
        <w:t>The costs of fringe benefits are allowable provided that the benefits are reasonable and are required by</w:t>
      </w:r>
      <w:r w:rsidR="005B2472" w:rsidRPr="00EB107A">
        <w:rPr>
          <w:rFonts w:ascii="Calibri" w:hAnsi="Calibri"/>
          <w:bCs/>
          <w:sz w:val="22"/>
          <w:szCs w:val="22"/>
        </w:rPr>
        <w:t xml:space="preserve"> </w:t>
      </w:r>
      <w:r w:rsidRPr="00EB107A">
        <w:rPr>
          <w:rFonts w:ascii="Calibri" w:hAnsi="Calibri"/>
          <w:bCs/>
          <w:sz w:val="22"/>
          <w:szCs w:val="22"/>
        </w:rPr>
        <w:t>law, employer-employee agreement, or an established policy of the provider.</w:t>
      </w:r>
    </w:p>
    <w:p w14:paraId="66FFB1B9" w14:textId="1272F111" w:rsidR="00370EDF" w:rsidRPr="00EB107A" w:rsidRDefault="00C35924" w:rsidP="00BF03C0">
      <w:pPr>
        <w:pStyle w:val="ListParagraph"/>
        <w:numPr>
          <w:ilvl w:val="0"/>
          <w:numId w:val="14"/>
        </w:numPr>
        <w:tabs>
          <w:tab w:val="left" w:pos="720"/>
        </w:tabs>
        <w:spacing w:before="60"/>
        <w:ind w:left="720" w:right="86"/>
        <w:contextualSpacing w:val="0"/>
        <w:rPr>
          <w:rFonts w:ascii="Calibri" w:hAnsi="Calibri"/>
          <w:bCs/>
          <w:sz w:val="22"/>
          <w:szCs w:val="22"/>
        </w:rPr>
      </w:pPr>
      <w:r w:rsidRPr="00EB107A">
        <w:rPr>
          <w:rFonts w:ascii="Calibri" w:hAnsi="Calibri"/>
          <w:bCs/>
          <w:sz w:val="22"/>
          <w:szCs w:val="22"/>
        </w:rPr>
        <w:t xml:space="preserve">Completion </w:t>
      </w:r>
      <w:r w:rsidR="004046F2" w:rsidRPr="00EB107A">
        <w:rPr>
          <w:rFonts w:ascii="Calibri" w:hAnsi="Calibri"/>
          <w:bCs/>
          <w:sz w:val="22"/>
          <w:szCs w:val="22"/>
        </w:rPr>
        <w:t xml:space="preserve">and approval </w:t>
      </w:r>
      <w:r w:rsidRPr="00EB107A">
        <w:rPr>
          <w:rFonts w:ascii="Calibri" w:hAnsi="Calibri"/>
          <w:bCs/>
          <w:sz w:val="22"/>
          <w:szCs w:val="22"/>
        </w:rPr>
        <w:t>of</w:t>
      </w:r>
      <w:r w:rsidR="004046F2" w:rsidRPr="00EB107A">
        <w:rPr>
          <w:rFonts w:ascii="Calibri" w:hAnsi="Calibri"/>
          <w:bCs/>
          <w:sz w:val="22"/>
          <w:szCs w:val="22"/>
        </w:rPr>
        <w:t xml:space="preserve"> the </w:t>
      </w:r>
      <w:r w:rsidR="00C04872" w:rsidRPr="00EB107A">
        <w:rPr>
          <w:rFonts w:ascii="Calibri" w:hAnsi="Calibri"/>
          <w:bCs/>
          <w:sz w:val="22"/>
          <w:szCs w:val="22"/>
        </w:rPr>
        <w:t xml:space="preserve">CWHP </w:t>
      </w:r>
      <w:r w:rsidRPr="00EB107A">
        <w:rPr>
          <w:rFonts w:ascii="Calibri" w:hAnsi="Calibri"/>
          <w:bCs/>
          <w:sz w:val="22"/>
          <w:szCs w:val="22"/>
        </w:rPr>
        <w:t xml:space="preserve">Rate Setting Tool: </w:t>
      </w:r>
      <w:hyperlink r:id="rId15" w:history="1">
        <w:r w:rsidR="002B4FDD" w:rsidRPr="00EB107A">
          <w:rPr>
            <w:rStyle w:val="Hyperlink"/>
            <w:rFonts w:ascii="Calibri" w:hAnsi="Calibri"/>
            <w:bCs/>
            <w:sz w:val="22"/>
            <w:szCs w:val="22"/>
          </w:rPr>
          <w:t>http://www.cwhpartnership.org/rate-tool.html</w:t>
        </w:r>
      </w:hyperlink>
      <w:r w:rsidR="00C8300C" w:rsidRPr="00EB107A">
        <w:rPr>
          <w:rStyle w:val="Hyperlink"/>
          <w:rFonts w:ascii="Calibri" w:hAnsi="Calibri"/>
          <w:bCs/>
          <w:sz w:val="22"/>
          <w:szCs w:val="22"/>
        </w:rPr>
        <w:t>,</w:t>
      </w:r>
      <w:r w:rsidR="00C8300C" w:rsidRPr="00EB107A">
        <w:rPr>
          <w:rFonts w:ascii="Calibri" w:hAnsi="Calibri"/>
          <w:bCs/>
          <w:sz w:val="22"/>
          <w:szCs w:val="22"/>
        </w:rPr>
        <w:t xml:space="preserve"> or similar rate setting tool approved by Purchaser, </w:t>
      </w:r>
      <w:r w:rsidR="004046F2" w:rsidRPr="00EB107A">
        <w:rPr>
          <w:rFonts w:ascii="Calibri" w:hAnsi="Calibri"/>
          <w:bCs/>
          <w:sz w:val="22"/>
          <w:szCs w:val="22"/>
        </w:rPr>
        <w:t xml:space="preserve">is required prior to signature and implementation of contracts. </w:t>
      </w:r>
      <w:r w:rsidR="005B2472" w:rsidRPr="00EB107A">
        <w:rPr>
          <w:rFonts w:ascii="Calibri" w:hAnsi="Calibri"/>
          <w:bCs/>
          <w:sz w:val="22"/>
          <w:szCs w:val="22"/>
        </w:rPr>
        <w:t xml:space="preserve"> </w:t>
      </w:r>
      <w:r w:rsidR="00BE745A" w:rsidRPr="00EB107A">
        <w:rPr>
          <w:rFonts w:ascii="Calibri" w:hAnsi="Calibri"/>
          <w:bCs/>
          <w:sz w:val="22"/>
          <w:szCs w:val="22"/>
        </w:rPr>
        <w:t xml:space="preserve">The </w:t>
      </w:r>
      <w:r w:rsidR="00C8300C" w:rsidRPr="00EB107A">
        <w:rPr>
          <w:rFonts w:ascii="Calibri" w:hAnsi="Calibri"/>
          <w:bCs/>
          <w:sz w:val="22"/>
          <w:szCs w:val="22"/>
        </w:rPr>
        <w:t>Purchaser</w:t>
      </w:r>
      <w:r w:rsidR="00BE745A" w:rsidRPr="00EB107A">
        <w:rPr>
          <w:rFonts w:ascii="Calibri" w:hAnsi="Calibri"/>
          <w:bCs/>
          <w:sz w:val="22"/>
          <w:szCs w:val="22"/>
        </w:rPr>
        <w:t xml:space="preserve"> reserves the right to review and negotiate rates with individual providers.</w:t>
      </w:r>
    </w:p>
    <w:p w14:paraId="2D9BB574" w14:textId="5A3D8139" w:rsidR="00C743A4" w:rsidRDefault="00C743A4" w:rsidP="00C743A4">
      <w:pPr>
        <w:tabs>
          <w:tab w:val="left" w:pos="720"/>
        </w:tabs>
        <w:spacing w:before="60"/>
        <w:ind w:right="86"/>
        <w:rPr>
          <w:rFonts w:ascii="Calibri" w:hAnsi="Calibri"/>
          <w:bCs/>
          <w:sz w:val="22"/>
          <w:szCs w:val="22"/>
        </w:rPr>
      </w:pPr>
    </w:p>
    <w:p w14:paraId="04935C4D" w14:textId="24489B5D" w:rsidR="00C743A4" w:rsidRDefault="00C743A4" w:rsidP="00C743A4">
      <w:pPr>
        <w:tabs>
          <w:tab w:val="left" w:pos="720"/>
        </w:tabs>
        <w:spacing w:before="60"/>
        <w:ind w:right="86"/>
        <w:rPr>
          <w:rFonts w:ascii="Calibri" w:hAnsi="Calibri"/>
          <w:bCs/>
          <w:sz w:val="22"/>
          <w:szCs w:val="22"/>
        </w:rPr>
      </w:pPr>
    </w:p>
    <w:sectPr w:rsidR="00C743A4" w:rsidSect="009D6C52">
      <w:footerReference w:type="default" r:id="rId16"/>
      <w:pgSz w:w="12240" w:h="15840"/>
      <w:pgMar w:top="1008" w:right="1152" w:bottom="1008" w:left="1152" w:header="720" w:footer="51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DF0C6" w14:textId="77777777" w:rsidR="009A5314" w:rsidRDefault="009A5314">
      <w:r>
        <w:separator/>
      </w:r>
    </w:p>
  </w:endnote>
  <w:endnote w:type="continuationSeparator" w:id="0">
    <w:p w14:paraId="1AC845C3" w14:textId="77777777" w:rsidR="009A5314" w:rsidRDefault="009A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AF69E" w14:textId="64C41E79" w:rsidR="001C0ADF" w:rsidRDefault="001C0ADF" w:rsidP="00C522BE">
    <w:pPr>
      <w:pStyle w:val="Footer"/>
      <w:tabs>
        <w:tab w:val="clear" w:pos="4320"/>
        <w:tab w:val="clear" w:pos="8640"/>
        <w:tab w:val="center" w:pos="4968"/>
        <w:tab w:val="right" w:pos="9936"/>
      </w:tabs>
    </w:pPr>
    <w:r>
      <w:tab/>
    </w:r>
    <w:r w:rsidRPr="00A84702">
      <w:rPr>
        <w:rFonts w:ascii="Calibri" w:hAnsi="Calibri"/>
        <w:sz w:val="22"/>
      </w:rPr>
      <w:fldChar w:fldCharType="begin"/>
    </w:r>
    <w:r w:rsidRPr="00A84702">
      <w:rPr>
        <w:rFonts w:ascii="Calibri" w:hAnsi="Calibri"/>
        <w:sz w:val="22"/>
      </w:rPr>
      <w:instrText xml:space="preserve"> PAGE   \* MERGEFORMAT </w:instrText>
    </w:r>
    <w:r w:rsidRPr="00A84702">
      <w:rPr>
        <w:rFonts w:ascii="Calibri" w:hAnsi="Calibri"/>
        <w:sz w:val="22"/>
      </w:rPr>
      <w:fldChar w:fldCharType="separate"/>
    </w:r>
    <w:r w:rsidR="00EF58CE">
      <w:rPr>
        <w:rFonts w:ascii="Calibri" w:hAnsi="Calibri"/>
        <w:noProof/>
        <w:sz w:val="22"/>
      </w:rPr>
      <w:t>7</w:t>
    </w:r>
    <w:r w:rsidRPr="00A84702">
      <w:rPr>
        <w:rFonts w:ascii="Calibri" w:hAnsi="Calibri"/>
        <w:noProof/>
        <w:sz w:val="22"/>
      </w:rPr>
      <w:fldChar w:fldCharType="end"/>
    </w:r>
    <w:r>
      <w:tab/>
    </w:r>
    <w:r w:rsidR="00CB1777">
      <w:rPr>
        <w:rFonts w:ascii="Calibri" w:hAnsi="Calibri"/>
        <w:sz w:val="16"/>
      </w:rPr>
      <w:t xml:space="preserve">CCS Provider Contract Addendum </w:t>
    </w:r>
    <w:r w:rsidR="00EB107A">
      <w:rPr>
        <w:rFonts w:ascii="Calibri" w:hAnsi="Calibri"/>
        <w:sz w:val="16"/>
      </w:rPr>
      <w:t>6/29/21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37056" w14:textId="77777777" w:rsidR="009A5314" w:rsidRDefault="009A5314">
      <w:r>
        <w:separator/>
      </w:r>
    </w:p>
  </w:footnote>
  <w:footnote w:type="continuationSeparator" w:id="0">
    <w:p w14:paraId="137148CE" w14:textId="77777777" w:rsidR="009A5314" w:rsidRDefault="009A5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B36"/>
    <w:multiLevelType w:val="hybridMultilevel"/>
    <w:tmpl w:val="769E2F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807DD7"/>
    <w:multiLevelType w:val="hybridMultilevel"/>
    <w:tmpl w:val="ACF4C17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D452B6"/>
    <w:multiLevelType w:val="hybridMultilevel"/>
    <w:tmpl w:val="B31EF1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A72506"/>
    <w:multiLevelType w:val="hybridMultilevel"/>
    <w:tmpl w:val="BD6EB8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8954D1"/>
    <w:multiLevelType w:val="hybridMultilevel"/>
    <w:tmpl w:val="421692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0D3F33"/>
    <w:multiLevelType w:val="hybridMultilevel"/>
    <w:tmpl w:val="6C30EEB8"/>
    <w:lvl w:ilvl="0" w:tplc="8F38C96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375308"/>
    <w:multiLevelType w:val="hybridMultilevel"/>
    <w:tmpl w:val="5E8A62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500A7A"/>
    <w:multiLevelType w:val="hybridMultilevel"/>
    <w:tmpl w:val="1C6CA048"/>
    <w:lvl w:ilvl="0" w:tplc="148ED2C0">
      <w:start w:val="1"/>
      <w:numFmt w:val="bullet"/>
      <w:lvlText w:val=""/>
      <w:lvlJc w:val="left"/>
      <w:pPr>
        <w:ind w:left="1080" w:hanging="360"/>
      </w:pPr>
      <w:rPr>
        <w:rFonts w:ascii="Symbol" w:hAnsi="Symbol"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1A16B9"/>
    <w:multiLevelType w:val="hybridMultilevel"/>
    <w:tmpl w:val="D0306F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DB43D72"/>
    <w:multiLevelType w:val="hybridMultilevel"/>
    <w:tmpl w:val="F62EC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951468C"/>
    <w:multiLevelType w:val="hybridMultilevel"/>
    <w:tmpl w:val="39DE5236"/>
    <w:lvl w:ilvl="0" w:tplc="148ED2C0">
      <w:start w:val="1"/>
      <w:numFmt w:val="bullet"/>
      <w:lvlText w:val=""/>
      <w:lvlJc w:val="left"/>
      <w:pPr>
        <w:ind w:left="1080" w:hanging="360"/>
      </w:pPr>
      <w:rPr>
        <w:rFonts w:ascii="Symbol" w:hAnsi="Symbo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780C66"/>
    <w:multiLevelType w:val="hybridMultilevel"/>
    <w:tmpl w:val="A836D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7313D7"/>
    <w:multiLevelType w:val="hybridMultilevel"/>
    <w:tmpl w:val="CB7C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9C641D"/>
    <w:multiLevelType w:val="hybridMultilevel"/>
    <w:tmpl w:val="023E5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06C5EC6"/>
    <w:multiLevelType w:val="hybridMultilevel"/>
    <w:tmpl w:val="465E1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F9319B"/>
    <w:multiLevelType w:val="hybridMultilevel"/>
    <w:tmpl w:val="76A2C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C25662C"/>
    <w:multiLevelType w:val="hybridMultilevel"/>
    <w:tmpl w:val="702CC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14"/>
  </w:num>
  <w:num w:numId="4">
    <w:abstractNumId w:val="4"/>
  </w:num>
  <w:num w:numId="5">
    <w:abstractNumId w:val="5"/>
  </w:num>
  <w:num w:numId="6">
    <w:abstractNumId w:val="2"/>
  </w:num>
  <w:num w:numId="7">
    <w:abstractNumId w:val="7"/>
  </w:num>
  <w:num w:numId="8">
    <w:abstractNumId w:val="15"/>
  </w:num>
  <w:num w:numId="9">
    <w:abstractNumId w:val="10"/>
  </w:num>
  <w:num w:numId="10">
    <w:abstractNumId w:val="9"/>
  </w:num>
  <w:num w:numId="11">
    <w:abstractNumId w:val="3"/>
  </w:num>
  <w:num w:numId="12">
    <w:abstractNumId w:val="0"/>
  </w:num>
  <w:num w:numId="13">
    <w:abstractNumId w:val="1"/>
  </w:num>
  <w:num w:numId="14">
    <w:abstractNumId w:val="1"/>
  </w:num>
  <w:num w:numId="15">
    <w:abstractNumId w:val="13"/>
  </w:num>
  <w:num w:numId="16">
    <w:abstractNumId w:val="8"/>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DFE"/>
    <w:rsid w:val="00007421"/>
    <w:rsid w:val="00024DF1"/>
    <w:rsid w:val="00031811"/>
    <w:rsid w:val="000513A0"/>
    <w:rsid w:val="00082D0B"/>
    <w:rsid w:val="000940BD"/>
    <w:rsid w:val="000A3B2D"/>
    <w:rsid w:val="000A748F"/>
    <w:rsid w:val="000B3441"/>
    <w:rsid w:val="000B5613"/>
    <w:rsid w:val="000C4DB4"/>
    <w:rsid w:val="000C7535"/>
    <w:rsid w:val="000D1B1C"/>
    <w:rsid w:val="000D32BB"/>
    <w:rsid w:val="000D3489"/>
    <w:rsid w:val="000E6B1C"/>
    <w:rsid w:val="000F64DB"/>
    <w:rsid w:val="0010528E"/>
    <w:rsid w:val="001118AE"/>
    <w:rsid w:val="00113EC1"/>
    <w:rsid w:val="00120660"/>
    <w:rsid w:val="0014254A"/>
    <w:rsid w:val="001457E5"/>
    <w:rsid w:val="0014585B"/>
    <w:rsid w:val="001460CC"/>
    <w:rsid w:val="00152245"/>
    <w:rsid w:val="001641F5"/>
    <w:rsid w:val="001649AD"/>
    <w:rsid w:val="00167583"/>
    <w:rsid w:val="00167D28"/>
    <w:rsid w:val="0017212C"/>
    <w:rsid w:val="00184663"/>
    <w:rsid w:val="0018686B"/>
    <w:rsid w:val="00187169"/>
    <w:rsid w:val="00187193"/>
    <w:rsid w:val="00197B9C"/>
    <w:rsid w:val="001B79CA"/>
    <w:rsid w:val="001C0ADF"/>
    <w:rsid w:val="001C1B01"/>
    <w:rsid w:val="001C45A7"/>
    <w:rsid w:val="001C5A5F"/>
    <w:rsid w:val="001C5D6E"/>
    <w:rsid w:val="001C665C"/>
    <w:rsid w:val="001E0231"/>
    <w:rsid w:val="001F7CD6"/>
    <w:rsid w:val="00207869"/>
    <w:rsid w:val="00214CAE"/>
    <w:rsid w:val="00251E93"/>
    <w:rsid w:val="00255C66"/>
    <w:rsid w:val="002648BE"/>
    <w:rsid w:val="00270937"/>
    <w:rsid w:val="00276D40"/>
    <w:rsid w:val="002940AB"/>
    <w:rsid w:val="002B4FDD"/>
    <w:rsid w:val="002C0F73"/>
    <w:rsid w:val="002D4418"/>
    <w:rsid w:val="002D7074"/>
    <w:rsid w:val="002E097A"/>
    <w:rsid w:val="002E12C2"/>
    <w:rsid w:val="002F0922"/>
    <w:rsid w:val="002F70C2"/>
    <w:rsid w:val="002F71EB"/>
    <w:rsid w:val="00301AA0"/>
    <w:rsid w:val="00305B37"/>
    <w:rsid w:val="00306761"/>
    <w:rsid w:val="00313A0A"/>
    <w:rsid w:val="00345D85"/>
    <w:rsid w:val="0035147C"/>
    <w:rsid w:val="00360612"/>
    <w:rsid w:val="00370EDF"/>
    <w:rsid w:val="00387E2F"/>
    <w:rsid w:val="0039305F"/>
    <w:rsid w:val="003A230F"/>
    <w:rsid w:val="003B7100"/>
    <w:rsid w:val="003D1F38"/>
    <w:rsid w:val="003F36FB"/>
    <w:rsid w:val="004046F2"/>
    <w:rsid w:val="00410997"/>
    <w:rsid w:val="00411F1F"/>
    <w:rsid w:val="0041685C"/>
    <w:rsid w:val="00430073"/>
    <w:rsid w:val="0044387D"/>
    <w:rsid w:val="00450B3F"/>
    <w:rsid w:val="00451AE3"/>
    <w:rsid w:val="00456772"/>
    <w:rsid w:val="00461A8C"/>
    <w:rsid w:val="00466AA7"/>
    <w:rsid w:val="00486AD7"/>
    <w:rsid w:val="004954F9"/>
    <w:rsid w:val="004956C5"/>
    <w:rsid w:val="004B302E"/>
    <w:rsid w:val="004B3893"/>
    <w:rsid w:val="004C6B11"/>
    <w:rsid w:val="004E75C2"/>
    <w:rsid w:val="004F239F"/>
    <w:rsid w:val="00500E33"/>
    <w:rsid w:val="005101D2"/>
    <w:rsid w:val="0051103A"/>
    <w:rsid w:val="005156F9"/>
    <w:rsid w:val="005215CF"/>
    <w:rsid w:val="00522E37"/>
    <w:rsid w:val="0052756C"/>
    <w:rsid w:val="00531910"/>
    <w:rsid w:val="00551F7F"/>
    <w:rsid w:val="005609CD"/>
    <w:rsid w:val="005617E2"/>
    <w:rsid w:val="00564691"/>
    <w:rsid w:val="00576C94"/>
    <w:rsid w:val="0058214A"/>
    <w:rsid w:val="00590767"/>
    <w:rsid w:val="005B2472"/>
    <w:rsid w:val="005C40ED"/>
    <w:rsid w:val="005D40F5"/>
    <w:rsid w:val="005E506F"/>
    <w:rsid w:val="005F0357"/>
    <w:rsid w:val="005F331B"/>
    <w:rsid w:val="00600AC6"/>
    <w:rsid w:val="00607B29"/>
    <w:rsid w:val="00613BA8"/>
    <w:rsid w:val="00647B64"/>
    <w:rsid w:val="00660BCB"/>
    <w:rsid w:val="006612E5"/>
    <w:rsid w:val="00677748"/>
    <w:rsid w:val="0068653B"/>
    <w:rsid w:val="006925D5"/>
    <w:rsid w:val="00692B57"/>
    <w:rsid w:val="006972FC"/>
    <w:rsid w:val="006A164D"/>
    <w:rsid w:val="006A4049"/>
    <w:rsid w:val="006A74A5"/>
    <w:rsid w:val="006C4D47"/>
    <w:rsid w:val="006D1DFE"/>
    <w:rsid w:val="006D7A5C"/>
    <w:rsid w:val="006E0CE3"/>
    <w:rsid w:val="006F30CB"/>
    <w:rsid w:val="006F3EC0"/>
    <w:rsid w:val="00705639"/>
    <w:rsid w:val="00733823"/>
    <w:rsid w:val="00757D81"/>
    <w:rsid w:val="00771338"/>
    <w:rsid w:val="00777C45"/>
    <w:rsid w:val="00783221"/>
    <w:rsid w:val="00791E03"/>
    <w:rsid w:val="007A427F"/>
    <w:rsid w:val="007A66C8"/>
    <w:rsid w:val="007B0ACB"/>
    <w:rsid w:val="007C6357"/>
    <w:rsid w:val="007D1F55"/>
    <w:rsid w:val="007D2CEB"/>
    <w:rsid w:val="007F1133"/>
    <w:rsid w:val="007F3A0F"/>
    <w:rsid w:val="007F6074"/>
    <w:rsid w:val="00817D9B"/>
    <w:rsid w:val="008210B3"/>
    <w:rsid w:val="00822D76"/>
    <w:rsid w:val="0086300C"/>
    <w:rsid w:val="0088181A"/>
    <w:rsid w:val="008820E1"/>
    <w:rsid w:val="00885A6D"/>
    <w:rsid w:val="008A2001"/>
    <w:rsid w:val="008A23FA"/>
    <w:rsid w:val="008A2E8A"/>
    <w:rsid w:val="008A7155"/>
    <w:rsid w:val="008B0840"/>
    <w:rsid w:val="008B77F7"/>
    <w:rsid w:val="008C0579"/>
    <w:rsid w:val="008C7E93"/>
    <w:rsid w:val="008F7AD4"/>
    <w:rsid w:val="0090202C"/>
    <w:rsid w:val="00902068"/>
    <w:rsid w:val="0091007C"/>
    <w:rsid w:val="00910724"/>
    <w:rsid w:val="00911B42"/>
    <w:rsid w:val="009269D5"/>
    <w:rsid w:val="00951404"/>
    <w:rsid w:val="009543D5"/>
    <w:rsid w:val="009649CF"/>
    <w:rsid w:val="00964DE0"/>
    <w:rsid w:val="00973E4B"/>
    <w:rsid w:val="009754BE"/>
    <w:rsid w:val="00975755"/>
    <w:rsid w:val="00977132"/>
    <w:rsid w:val="00984D1F"/>
    <w:rsid w:val="009910F5"/>
    <w:rsid w:val="0099114E"/>
    <w:rsid w:val="00993F4F"/>
    <w:rsid w:val="009A5314"/>
    <w:rsid w:val="009D1477"/>
    <w:rsid w:val="009D6C52"/>
    <w:rsid w:val="009E4D39"/>
    <w:rsid w:val="009F0890"/>
    <w:rsid w:val="009F61D8"/>
    <w:rsid w:val="00A00632"/>
    <w:rsid w:val="00A30B5A"/>
    <w:rsid w:val="00A4138B"/>
    <w:rsid w:val="00A6074F"/>
    <w:rsid w:val="00A7013A"/>
    <w:rsid w:val="00A707D0"/>
    <w:rsid w:val="00A83576"/>
    <w:rsid w:val="00A84702"/>
    <w:rsid w:val="00A857E2"/>
    <w:rsid w:val="00A9449B"/>
    <w:rsid w:val="00AB068D"/>
    <w:rsid w:val="00AB074B"/>
    <w:rsid w:val="00AC5069"/>
    <w:rsid w:val="00AC50B3"/>
    <w:rsid w:val="00AC74E4"/>
    <w:rsid w:val="00AD066E"/>
    <w:rsid w:val="00AD095D"/>
    <w:rsid w:val="00AD363B"/>
    <w:rsid w:val="00AD4369"/>
    <w:rsid w:val="00AE281E"/>
    <w:rsid w:val="00AE3CCD"/>
    <w:rsid w:val="00AE5129"/>
    <w:rsid w:val="00AF5166"/>
    <w:rsid w:val="00AF6BA6"/>
    <w:rsid w:val="00B03D5A"/>
    <w:rsid w:val="00B055A3"/>
    <w:rsid w:val="00B31BC2"/>
    <w:rsid w:val="00B54602"/>
    <w:rsid w:val="00B612DC"/>
    <w:rsid w:val="00B67606"/>
    <w:rsid w:val="00B82201"/>
    <w:rsid w:val="00B86353"/>
    <w:rsid w:val="00B94192"/>
    <w:rsid w:val="00BA2436"/>
    <w:rsid w:val="00BA2E8D"/>
    <w:rsid w:val="00BB5449"/>
    <w:rsid w:val="00BC6CB2"/>
    <w:rsid w:val="00BD66CA"/>
    <w:rsid w:val="00BE745A"/>
    <w:rsid w:val="00BF3D13"/>
    <w:rsid w:val="00C04872"/>
    <w:rsid w:val="00C27202"/>
    <w:rsid w:val="00C32EF3"/>
    <w:rsid w:val="00C33582"/>
    <w:rsid w:val="00C35924"/>
    <w:rsid w:val="00C3651A"/>
    <w:rsid w:val="00C4481B"/>
    <w:rsid w:val="00C522BE"/>
    <w:rsid w:val="00C53E46"/>
    <w:rsid w:val="00C731EE"/>
    <w:rsid w:val="00C743A4"/>
    <w:rsid w:val="00C767B4"/>
    <w:rsid w:val="00C8300C"/>
    <w:rsid w:val="00C87ACC"/>
    <w:rsid w:val="00C93CAC"/>
    <w:rsid w:val="00CB1777"/>
    <w:rsid w:val="00CC16DC"/>
    <w:rsid w:val="00CD0FF8"/>
    <w:rsid w:val="00CE0EA0"/>
    <w:rsid w:val="00CE4098"/>
    <w:rsid w:val="00CF6496"/>
    <w:rsid w:val="00D06BBF"/>
    <w:rsid w:val="00D32514"/>
    <w:rsid w:val="00D364BD"/>
    <w:rsid w:val="00D440AE"/>
    <w:rsid w:val="00D47F0B"/>
    <w:rsid w:val="00D63AC4"/>
    <w:rsid w:val="00D6509B"/>
    <w:rsid w:val="00D72735"/>
    <w:rsid w:val="00D829D8"/>
    <w:rsid w:val="00DA007B"/>
    <w:rsid w:val="00DA5688"/>
    <w:rsid w:val="00DB7FAC"/>
    <w:rsid w:val="00DC777B"/>
    <w:rsid w:val="00DE0A65"/>
    <w:rsid w:val="00DF22E5"/>
    <w:rsid w:val="00DF51A9"/>
    <w:rsid w:val="00DF5D09"/>
    <w:rsid w:val="00DF5E10"/>
    <w:rsid w:val="00DF7117"/>
    <w:rsid w:val="00E0456F"/>
    <w:rsid w:val="00E0497E"/>
    <w:rsid w:val="00E17992"/>
    <w:rsid w:val="00E50FC2"/>
    <w:rsid w:val="00E5375A"/>
    <w:rsid w:val="00E7015F"/>
    <w:rsid w:val="00E70480"/>
    <w:rsid w:val="00E73596"/>
    <w:rsid w:val="00E76E94"/>
    <w:rsid w:val="00E77ACE"/>
    <w:rsid w:val="00E77CE8"/>
    <w:rsid w:val="00E93512"/>
    <w:rsid w:val="00E96C32"/>
    <w:rsid w:val="00E96C76"/>
    <w:rsid w:val="00EA2DDF"/>
    <w:rsid w:val="00EB107A"/>
    <w:rsid w:val="00EC2758"/>
    <w:rsid w:val="00ED11C3"/>
    <w:rsid w:val="00EE07EC"/>
    <w:rsid w:val="00EE7E4B"/>
    <w:rsid w:val="00EF542E"/>
    <w:rsid w:val="00EF58CE"/>
    <w:rsid w:val="00F016CD"/>
    <w:rsid w:val="00F116FC"/>
    <w:rsid w:val="00F12DA9"/>
    <w:rsid w:val="00F16AEE"/>
    <w:rsid w:val="00F2282D"/>
    <w:rsid w:val="00F24EF1"/>
    <w:rsid w:val="00F2571D"/>
    <w:rsid w:val="00F31F99"/>
    <w:rsid w:val="00F35F57"/>
    <w:rsid w:val="00F419CC"/>
    <w:rsid w:val="00F431D5"/>
    <w:rsid w:val="00F47C9D"/>
    <w:rsid w:val="00F635EC"/>
    <w:rsid w:val="00F71018"/>
    <w:rsid w:val="00F75B45"/>
    <w:rsid w:val="00F80D3F"/>
    <w:rsid w:val="00F82903"/>
    <w:rsid w:val="00F8309D"/>
    <w:rsid w:val="00F96364"/>
    <w:rsid w:val="00FC1CD7"/>
    <w:rsid w:val="00FD0F55"/>
    <w:rsid w:val="00FD3FE6"/>
    <w:rsid w:val="00FE2403"/>
    <w:rsid w:val="00FF0075"/>
    <w:rsid w:val="00FF4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786AA6"/>
  <w15:chartTrackingRefBased/>
  <w15:docId w15:val="{6FC0883E-FFB6-44D5-876A-0D0ABB4C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87D"/>
    <w:rPr>
      <w:sz w:val="24"/>
    </w:rPr>
  </w:style>
  <w:style w:type="paragraph" w:styleId="Heading2">
    <w:name w:val="heading 2"/>
    <w:basedOn w:val="Normal"/>
    <w:next w:val="Normal"/>
    <w:qFormat/>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outlineLvl w:val="0"/>
    </w:pPr>
    <w:rPr>
      <w:rFonts w:ascii="Arial" w:hAnsi="Arial"/>
      <w:b/>
      <w:kern w:val="28"/>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link w:val="BalloonTextChar"/>
    <w:rsid w:val="000C4DB4"/>
    <w:rPr>
      <w:rFonts w:ascii="Tahoma" w:hAnsi="Tahoma" w:cs="Tahoma"/>
      <w:sz w:val="16"/>
      <w:szCs w:val="16"/>
    </w:rPr>
  </w:style>
  <w:style w:type="character" w:customStyle="1" w:styleId="BalloonTextChar">
    <w:name w:val="Balloon Text Char"/>
    <w:link w:val="BalloonText"/>
    <w:rsid w:val="000C4DB4"/>
    <w:rPr>
      <w:rFonts w:ascii="Tahoma" w:hAnsi="Tahoma" w:cs="Tahoma"/>
      <w:sz w:val="16"/>
      <w:szCs w:val="16"/>
    </w:rPr>
  </w:style>
  <w:style w:type="paragraph" w:styleId="ListParagraph">
    <w:name w:val="List Paragraph"/>
    <w:basedOn w:val="Normal"/>
    <w:uiPriority w:val="34"/>
    <w:qFormat/>
    <w:rsid w:val="00D72735"/>
    <w:pPr>
      <w:ind w:left="720"/>
      <w:contextualSpacing/>
    </w:pPr>
  </w:style>
  <w:style w:type="paragraph" w:styleId="BodyText">
    <w:name w:val="Body Text"/>
    <w:basedOn w:val="Normal"/>
    <w:link w:val="BodyTextChar"/>
    <w:rsid w:val="00D72735"/>
    <w:rPr>
      <w:rFonts w:ascii="Arial" w:hAnsi="Arial"/>
    </w:rPr>
  </w:style>
  <w:style w:type="character" w:customStyle="1" w:styleId="BodyTextChar">
    <w:name w:val="Body Text Char"/>
    <w:link w:val="BodyText"/>
    <w:rsid w:val="00D72735"/>
    <w:rPr>
      <w:rFonts w:ascii="Arial" w:hAnsi="Arial"/>
      <w:sz w:val="24"/>
    </w:rPr>
  </w:style>
  <w:style w:type="character" w:styleId="UnresolvedMention">
    <w:name w:val="Unresolved Mention"/>
    <w:uiPriority w:val="99"/>
    <w:semiHidden/>
    <w:unhideWhenUsed/>
    <w:rsid w:val="00E0456F"/>
    <w:rPr>
      <w:color w:val="808080"/>
      <w:shd w:val="clear" w:color="auto" w:fill="E6E6E6"/>
    </w:rPr>
  </w:style>
  <w:style w:type="table" w:styleId="TableGrid">
    <w:name w:val="Table Grid"/>
    <w:basedOn w:val="TableNormal"/>
    <w:uiPriority w:val="59"/>
    <w:rsid w:val="00A30B5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522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7022">
      <w:bodyDiv w:val="1"/>
      <w:marLeft w:val="0"/>
      <w:marRight w:val="0"/>
      <w:marTop w:val="0"/>
      <w:marBottom w:val="0"/>
      <w:divBdr>
        <w:top w:val="none" w:sz="0" w:space="0" w:color="auto"/>
        <w:left w:val="none" w:sz="0" w:space="0" w:color="auto"/>
        <w:bottom w:val="none" w:sz="0" w:space="0" w:color="auto"/>
        <w:right w:val="none" w:sz="0" w:space="0" w:color="auto"/>
      </w:divBdr>
    </w:div>
    <w:div w:id="627203844">
      <w:bodyDiv w:val="1"/>
      <w:marLeft w:val="0"/>
      <w:marRight w:val="0"/>
      <w:marTop w:val="0"/>
      <w:marBottom w:val="0"/>
      <w:divBdr>
        <w:top w:val="none" w:sz="0" w:space="0" w:color="auto"/>
        <w:left w:val="none" w:sz="0" w:space="0" w:color="auto"/>
        <w:bottom w:val="none" w:sz="0" w:space="0" w:color="auto"/>
        <w:right w:val="none" w:sz="0" w:space="0" w:color="auto"/>
      </w:divBdr>
    </w:div>
    <w:div w:id="79275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wisconsin.gov/forms/DQAnum.asp" TargetMode="External"/><Relationship Id="rId13" Type="http://schemas.openxmlformats.org/officeDocument/2006/relationships/hyperlink" Target="https://www.forwardhealth.wi.gov/kw/pdf/2014-42.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orwardhealth.wi.gov/kw/pdf/2014-42.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whpartnership.org/ccs-orientation.html" TargetMode="External"/><Relationship Id="rId5" Type="http://schemas.openxmlformats.org/officeDocument/2006/relationships/footnotes" Target="footnotes.xml"/><Relationship Id="rId15" Type="http://schemas.openxmlformats.org/officeDocument/2006/relationships/hyperlink" Target="http://www.cwhpartnership.org/rate-tool.html" TargetMode="External"/><Relationship Id="rId10" Type="http://schemas.openxmlformats.org/officeDocument/2006/relationships/hyperlink" Target="http://www.cwhpartnership.org/ongoing-training.html" TargetMode="External"/><Relationship Id="rId4" Type="http://schemas.openxmlformats.org/officeDocument/2006/relationships/webSettings" Target="webSettings.xml"/><Relationship Id="rId9" Type="http://schemas.openxmlformats.org/officeDocument/2006/relationships/hyperlink" Target="http://www.cwhpartnership.org/ccs-orientation.html" TargetMode="External"/><Relationship Id="rId14" Type="http://schemas.openxmlformats.org/officeDocument/2006/relationships/hyperlink" Target="https://www.dhs.wisconsin.gov/business/allow-cost-manu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6</Pages>
  <Words>2785</Words>
  <Characters>16842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Waupaca County</vt:lpstr>
    </vt:vector>
  </TitlesOfParts>
  <Company>Waupaca County</Company>
  <LinksUpToDate>false</LinksUpToDate>
  <CharactersWithSpaces>19588</CharactersWithSpaces>
  <SharedDoc>false</SharedDoc>
  <HLinks>
    <vt:vector size="12" baseType="variant">
      <vt:variant>
        <vt:i4>3735602</vt:i4>
      </vt:variant>
      <vt:variant>
        <vt:i4>3</vt:i4>
      </vt:variant>
      <vt:variant>
        <vt:i4>0</vt:i4>
      </vt:variant>
      <vt:variant>
        <vt:i4>5</vt:i4>
      </vt:variant>
      <vt:variant>
        <vt:lpwstr>http://www.cwhpartnership.org/ccs-orientation.html</vt:lpwstr>
      </vt:variant>
      <vt:variant>
        <vt:lpwstr/>
      </vt:variant>
      <vt:variant>
        <vt:i4>1179725</vt:i4>
      </vt:variant>
      <vt:variant>
        <vt:i4>0</vt:i4>
      </vt:variant>
      <vt:variant>
        <vt:i4>0</vt:i4>
      </vt:variant>
      <vt:variant>
        <vt:i4>5</vt:i4>
      </vt:variant>
      <vt:variant>
        <vt:lpwstr>https://www.dhs.wisconsin.gov/caregiver/forms.htm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Waupaca County</dc:title>
  <dc:subject/>
  <dc:creator>ldraeg</dc:creator>
  <cp:keywords/>
  <cp:lastModifiedBy>Lori Martin</cp:lastModifiedBy>
  <cp:revision>199</cp:revision>
  <cp:lastPrinted>2021-04-27T17:04:00Z</cp:lastPrinted>
  <dcterms:created xsi:type="dcterms:W3CDTF">2021-04-27T13:05:00Z</dcterms:created>
  <dcterms:modified xsi:type="dcterms:W3CDTF">2021-06-29T13:19:00Z</dcterms:modified>
</cp:coreProperties>
</file>